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pacing w:after="240" w:line="360" w:lineRule="auto"/>
        <w:jc w:val="center"/>
        <w:outlineLvl w:val="0"/>
        <w:rPr>
          <w:rFonts w:hint="eastAsia" w:ascii="Times New Roman" w:hAnsi="Times New Roman" w:eastAsia="宋体" w:cs="宋体"/>
          <w:b/>
          <w:bCs/>
          <w:snapToGrid w:val="0"/>
          <w:color w:val="auto"/>
          <w:kern w:val="0"/>
          <w:sz w:val="40"/>
          <w:szCs w:val="40"/>
          <w:highlight w:val="none"/>
        </w:rPr>
      </w:pPr>
      <w:r>
        <w:rPr>
          <w:rFonts w:hint="eastAsia" w:ascii="Times New Roman" w:hAnsi="Times New Roman" w:eastAsia="宋体" w:cs="宋体"/>
          <w:b/>
          <w:bCs/>
          <w:snapToGrid w:val="0"/>
          <w:color w:val="auto"/>
          <w:kern w:val="0"/>
          <w:sz w:val="40"/>
          <w:szCs w:val="40"/>
          <w:highlight w:val="none"/>
        </w:rPr>
        <w:t>2026年度南通市离退</w:t>
      </w:r>
      <w:bookmarkStart w:id="1" w:name="_GoBack"/>
      <w:bookmarkEnd w:id="1"/>
      <w:r>
        <w:rPr>
          <w:rFonts w:hint="eastAsia" w:ascii="Times New Roman" w:hAnsi="Times New Roman" w:eastAsia="宋体" w:cs="宋体"/>
          <w:b/>
          <w:bCs/>
          <w:snapToGrid w:val="0"/>
          <w:color w:val="auto"/>
          <w:kern w:val="0"/>
          <w:sz w:val="40"/>
          <w:szCs w:val="40"/>
          <w:highlight w:val="none"/>
        </w:rPr>
        <w:t>休军人荣誉疗养服务项目</w:t>
      </w:r>
    </w:p>
    <w:p>
      <w:pPr>
        <w:tabs>
          <w:tab w:val="left" w:pos="1050"/>
          <w:tab w:val="right" w:leader="dot" w:pos="9402"/>
        </w:tabs>
        <w:spacing w:line="360" w:lineRule="auto"/>
        <w:jc w:val="center"/>
        <w:outlineLvl w:val="0"/>
        <w:rPr>
          <w:rFonts w:hint="eastAsia" w:ascii="Times New Roman" w:hAnsi="Times New Roman" w:eastAsia="宋体" w:cs="宋体"/>
          <w:snapToGrid w:val="0"/>
          <w:color w:val="auto"/>
          <w:kern w:val="0"/>
          <w:sz w:val="28"/>
          <w:szCs w:val="28"/>
          <w:highlight w:val="none"/>
        </w:rPr>
      </w:pPr>
      <w:r>
        <w:rPr>
          <w:rFonts w:hint="eastAsia" w:ascii="Times New Roman" w:hAnsi="Times New Roman" w:eastAsia="宋体" w:cs="宋体"/>
          <w:b/>
          <w:bCs/>
          <w:snapToGrid w:val="0"/>
          <w:color w:val="auto"/>
          <w:kern w:val="0"/>
          <w:sz w:val="44"/>
          <w:szCs w:val="44"/>
          <w:highlight w:val="none"/>
        </w:rPr>
        <w:t>项目需求</w:t>
      </w:r>
    </w:p>
    <w:p>
      <w:pPr>
        <w:snapToGrid w:val="0"/>
        <w:spacing w:line="440" w:lineRule="exact"/>
        <w:ind w:firstLine="482" w:firstLineChars="20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一、项目概况</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南通市退役军人事务局举办2026年度南通市离退休军人荣誉疗养服务项目，组织5日4晚的西安疗养项目。</w:t>
      </w:r>
    </w:p>
    <w:p>
      <w:pPr>
        <w:snapToGrid w:val="0"/>
        <w:spacing w:line="440" w:lineRule="exact"/>
        <w:ind w:firstLine="482" w:firstLineChars="20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二、参加对象</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服役期间或移交安置后作出突出贡献的离退休军人，有符合下列条件之一的：</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1、服役期间荣立三等功以上奖励；</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2、在艰边地区或高山海岛服役10年以上；</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3、军龄满30年的；</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4、其他情形。</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符合上述条件且年龄不超过75周岁的军休干部，身体状况许可，生活能够自理，经本人报名、家属签字、单位签署意见后上报，优先安排从未参加过地市级及以上部门组织的疗养活动人员。</w:t>
      </w:r>
    </w:p>
    <w:p>
      <w:pPr>
        <w:snapToGrid w:val="0"/>
        <w:spacing w:line="440" w:lineRule="exact"/>
        <w:ind w:firstLine="480" w:firstLineChars="200"/>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每名军休干部可由1名家属陪同参加。</w:t>
      </w:r>
    </w:p>
    <w:p>
      <w:pPr>
        <w:snapToGrid w:val="0"/>
        <w:spacing w:line="440" w:lineRule="exact"/>
        <w:ind w:firstLine="482" w:firstLineChars="20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三、参加名额</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各军休机构各4名军休干部（小计32人）；各军休机构安排1名工作人员参加；市局安排总领队1名，工作人员1名。总人数42人（暂定）。</w:t>
      </w:r>
    </w:p>
    <w:p>
      <w:pPr>
        <w:snapToGrid w:val="0"/>
        <w:spacing w:line="440" w:lineRule="exact"/>
        <w:ind w:firstLine="482" w:firstLineChars="200"/>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四、疗养</w:t>
      </w:r>
      <w:r>
        <w:rPr>
          <w:rFonts w:ascii="Times New Roman" w:hAnsi="Times New Roman" w:eastAsia="宋体" w:cs="宋体"/>
          <w:b/>
          <w:bCs/>
          <w:color w:val="auto"/>
          <w:sz w:val="24"/>
          <w:szCs w:val="24"/>
          <w:highlight w:val="none"/>
        </w:rPr>
        <w:t>时间和地点</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时间5日4晚，疗养地点西安，计划5月期间举办。具体时间根据实际情况适时安排。</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行程安排</w:t>
      </w:r>
    </w:p>
    <w:tbl>
      <w:tblPr>
        <w:tblStyle w:val="7"/>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6181"/>
        <w:gridCol w:w="969"/>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2" w:type="dxa"/>
            <w:noWrap w:val="0"/>
            <w:vAlign w:val="center"/>
          </w:tcPr>
          <w:p>
            <w:pPr>
              <w:adjustRightInd w:val="0"/>
              <w:snapToGrid w:val="0"/>
              <w:rPr>
                <w:rFonts w:ascii="Times New Roman" w:hAnsi="Times New Roman" w:eastAsia="宋体"/>
                <w:b/>
                <w:bCs/>
                <w:color w:val="auto"/>
                <w:sz w:val="21"/>
                <w:szCs w:val="24"/>
                <w:highlight w:val="none"/>
              </w:rPr>
            </w:pPr>
            <w:bookmarkStart w:id="0" w:name="OLE_LINK20"/>
            <w:r>
              <w:rPr>
                <w:rFonts w:hint="eastAsia" w:ascii="Times New Roman" w:hAnsi="Times New Roman" w:eastAsia="宋体"/>
                <w:b/>
                <w:bCs/>
                <w:color w:val="auto"/>
                <w:sz w:val="21"/>
                <w:szCs w:val="24"/>
                <w:highlight w:val="none"/>
              </w:rPr>
              <w:t>时间</w:t>
            </w:r>
          </w:p>
        </w:tc>
        <w:tc>
          <w:tcPr>
            <w:tcW w:w="6181" w:type="dxa"/>
            <w:noWrap w:val="0"/>
            <w:vAlign w:val="center"/>
          </w:tcPr>
          <w:p>
            <w:pPr>
              <w:adjustRightInd w:val="0"/>
              <w:snapToGrid w:val="0"/>
              <w:jc w:val="center"/>
              <w:rPr>
                <w:rFonts w:ascii="Times New Roman" w:hAnsi="Times New Roman" w:eastAsia="宋体"/>
                <w:b/>
                <w:bCs/>
                <w:color w:val="auto"/>
                <w:sz w:val="21"/>
                <w:szCs w:val="24"/>
                <w:highlight w:val="none"/>
              </w:rPr>
            </w:pPr>
            <w:r>
              <w:rPr>
                <w:rFonts w:hint="eastAsia" w:ascii="Times New Roman" w:hAnsi="Times New Roman" w:eastAsia="宋体"/>
                <w:b/>
                <w:bCs/>
                <w:color w:val="auto"/>
                <w:sz w:val="21"/>
                <w:szCs w:val="24"/>
                <w:highlight w:val="none"/>
              </w:rPr>
              <w:t>行程需求</w:t>
            </w:r>
          </w:p>
        </w:tc>
        <w:tc>
          <w:tcPr>
            <w:tcW w:w="969" w:type="dxa"/>
            <w:noWrap w:val="0"/>
            <w:vAlign w:val="center"/>
          </w:tcPr>
          <w:p>
            <w:pPr>
              <w:adjustRightInd w:val="0"/>
              <w:snapToGrid w:val="0"/>
              <w:jc w:val="center"/>
              <w:rPr>
                <w:rFonts w:ascii="Times New Roman" w:hAnsi="Times New Roman" w:eastAsia="宋体"/>
                <w:b/>
                <w:bCs/>
                <w:color w:val="auto"/>
                <w:sz w:val="21"/>
                <w:szCs w:val="24"/>
                <w:highlight w:val="none"/>
              </w:rPr>
            </w:pPr>
            <w:r>
              <w:rPr>
                <w:rFonts w:hint="eastAsia" w:ascii="Times New Roman" w:hAnsi="Times New Roman" w:eastAsia="宋体"/>
                <w:b/>
                <w:bCs/>
                <w:color w:val="auto"/>
                <w:sz w:val="21"/>
                <w:szCs w:val="24"/>
                <w:highlight w:val="none"/>
              </w:rPr>
              <w:t>用餐</w:t>
            </w:r>
          </w:p>
        </w:tc>
        <w:tc>
          <w:tcPr>
            <w:tcW w:w="1312" w:type="dxa"/>
            <w:noWrap w:val="0"/>
            <w:vAlign w:val="center"/>
          </w:tcPr>
          <w:p>
            <w:pPr>
              <w:adjustRightInd w:val="0"/>
              <w:snapToGrid w:val="0"/>
              <w:jc w:val="center"/>
              <w:rPr>
                <w:rFonts w:ascii="Times New Roman" w:hAnsi="Times New Roman" w:eastAsia="宋体"/>
                <w:b/>
                <w:bCs/>
                <w:color w:val="auto"/>
                <w:sz w:val="21"/>
                <w:szCs w:val="24"/>
                <w:highlight w:val="none"/>
              </w:rPr>
            </w:pPr>
            <w:r>
              <w:rPr>
                <w:rFonts w:hint="eastAsia" w:ascii="Times New Roman" w:hAnsi="Times New Roman" w:eastAsia="宋体"/>
                <w:b/>
                <w:bCs/>
                <w:color w:val="auto"/>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2"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D1</w:t>
            </w:r>
          </w:p>
        </w:tc>
        <w:tc>
          <w:tcPr>
            <w:tcW w:w="6181" w:type="dxa"/>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南通乘高铁前往西安</w:t>
            </w:r>
          </w:p>
        </w:tc>
        <w:tc>
          <w:tcPr>
            <w:tcW w:w="969"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中晚</w:t>
            </w:r>
          </w:p>
        </w:tc>
        <w:tc>
          <w:tcPr>
            <w:tcW w:w="1312" w:type="dxa"/>
            <w:vMerge w:val="restart"/>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要求参加投标的单位细化路线安排，作出合理调整。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2"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D2</w:t>
            </w:r>
          </w:p>
        </w:tc>
        <w:tc>
          <w:tcPr>
            <w:tcW w:w="6181" w:type="dxa"/>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兵马俑—华清宫—长恨歌（中区位置）</w:t>
            </w:r>
          </w:p>
        </w:tc>
        <w:tc>
          <w:tcPr>
            <w:tcW w:w="969"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早中晚</w:t>
            </w:r>
          </w:p>
        </w:tc>
        <w:tc>
          <w:tcPr>
            <w:tcW w:w="1312" w:type="dxa"/>
            <w:vMerge w:val="continue"/>
            <w:noWrap w:val="0"/>
            <w:vAlign w:val="center"/>
          </w:tcPr>
          <w:p>
            <w:pPr>
              <w:adjustRightInd w:val="0"/>
              <w:snapToGrid w:val="0"/>
              <w:rPr>
                <w:rFonts w:ascii="Times New Roman" w:hAnsi="Times New Roman" w:eastAsia="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2"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D3</w:t>
            </w:r>
          </w:p>
        </w:tc>
        <w:tc>
          <w:tcPr>
            <w:tcW w:w="6181" w:type="dxa"/>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乾陵—法门寺</w:t>
            </w:r>
          </w:p>
        </w:tc>
        <w:tc>
          <w:tcPr>
            <w:tcW w:w="969"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早中晚</w:t>
            </w:r>
          </w:p>
        </w:tc>
        <w:tc>
          <w:tcPr>
            <w:tcW w:w="1312" w:type="dxa"/>
            <w:vMerge w:val="continue"/>
            <w:noWrap w:val="0"/>
            <w:vAlign w:val="center"/>
          </w:tcPr>
          <w:p>
            <w:pPr>
              <w:adjustRightInd w:val="0"/>
              <w:snapToGrid w:val="0"/>
              <w:rPr>
                <w:rFonts w:ascii="Times New Roman" w:hAnsi="Times New Roman" w:eastAsia="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2"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D4</w:t>
            </w:r>
          </w:p>
        </w:tc>
        <w:tc>
          <w:tcPr>
            <w:tcW w:w="6181" w:type="dxa"/>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西安碑林博物馆—书院门—明城墙—钟鼓楼广场—大唐不夜城</w:t>
            </w:r>
          </w:p>
        </w:tc>
        <w:tc>
          <w:tcPr>
            <w:tcW w:w="969"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早中晚</w:t>
            </w:r>
          </w:p>
        </w:tc>
        <w:tc>
          <w:tcPr>
            <w:tcW w:w="1312" w:type="dxa"/>
            <w:vMerge w:val="continue"/>
            <w:noWrap w:val="0"/>
            <w:vAlign w:val="center"/>
          </w:tcPr>
          <w:p>
            <w:pPr>
              <w:adjustRightInd w:val="0"/>
              <w:snapToGrid w:val="0"/>
              <w:rPr>
                <w:rFonts w:ascii="Times New Roman" w:hAnsi="Times New Roman" w:eastAsia="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2"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D5</w:t>
            </w:r>
          </w:p>
        </w:tc>
        <w:tc>
          <w:tcPr>
            <w:tcW w:w="6181" w:type="dxa"/>
            <w:noWrap w:val="0"/>
            <w:vAlign w:val="center"/>
          </w:tcPr>
          <w:p>
            <w:pPr>
              <w:adjustRightInd w:val="0"/>
              <w:snapToGrid w:val="0"/>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西安乘高铁返程</w:t>
            </w:r>
          </w:p>
        </w:tc>
        <w:tc>
          <w:tcPr>
            <w:tcW w:w="969" w:type="dxa"/>
            <w:noWrap w:val="0"/>
            <w:vAlign w:val="center"/>
          </w:tcPr>
          <w:p>
            <w:pPr>
              <w:adjustRightInd w:val="0"/>
              <w:snapToGrid w:val="0"/>
              <w:jc w:val="center"/>
              <w:rPr>
                <w:rFonts w:ascii="Times New Roman" w:hAnsi="Times New Roman" w:eastAsia="宋体"/>
                <w:color w:val="auto"/>
                <w:sz w:val="21"/>
                <w:szCs w:val="24"/>
                <w:highlight w:val="none"/>
              </w:rPr>
            </w:pPr>
            <w:r>
              <w:rPr>
                <w:rFonts w:hint="eastAsia" w:ascii="Times New Roman" w:hAnsi="Times New Roman" w:eastAsia="宋体"/>
                <w:color w:val="auto"/>
                <w:sz w:val="21"/>
                <w:szCs w:val="24"/>
                <w:highlight w:val="none"/>
              </w:rPr>
              <w:t>早中</w:t>
            </w:r>
          </w:p>
        </w:tc>
        <w:tc>
          <w:tcPr>
            <w:tcW w:w="1312" w:type="dxa"/>
            <w:vMerge w:val="continue"/>
            <w:noWrap w:val="0"/>
            <w:vAlign w:val="center"/>
          </w:tcPr>
          <w:p>
            <w:pPr>
              <w:adjustRightInd w:val="0"/>
              <w:snapToGrid w:val="0"/>
              <w:rPr>
                <w:rFonts w:ascii="Times New Roman" w:hAnsi="Times New Roman" w:eastAsia="宋体"/>
                <w:color w:val="auto"/>
                <w:sz w:val="21"/>
                <w:szCs w:val="24"/>
                <w:highlight w:val="none"/>
              </w:rPr>
            </w:pPr>
          </w:p>
        </w:tc>
      </w:tr>
      <w:bookmarkEnd w:id="0"/>
    </w:tbl>
    <w:p>
      <w:pPr>
        <w:snapToGrid w:val="0"/>
        <w:spacing w:line="440" w:lineRule="exact"/>
        <w:ind w:firstLine="482" w:firstLineChars="20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五、经费预算</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1、费用包含但不限于含交通费、住宿费、餐饮费、景点门票费、疗养费、导游服务费等完成本项目所需的所有费用。</w:t>
      </w:r>
    </w:p>
    <w:p>
      <w:pPr>
        <w:snapToGrid w:val="0"/>
        <w:spacing w:line="440" w:lineRule="exact"/>
        <w:ind w:firstLine="480" w:firstLineChars="200"/>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2、最高限价：4000元/人，费用总金额按实际参加人数结算。随行军休干部家属费用自理。</w:t>
      </w:r>
    </w:p>
    <w:p>
      <w:pPr>
        <w:snapToGrid w:val="0"/>
        <w:spacing w:line="440" w:lineRule="exact"/>
        <w:ind w:firstLine="482" w:firstLineChars="200"/>
        <w:rPr>
          <w:rFonts w:hint="eastAsia" w:ascii="Times New Roman" w:hAnsi="Times New Roman" w:eastAsia="宋体" w:cs="宋体"/>
          <w:b/>
          <w:bCs/>
          <w:color w:val="auto"/>
          <w:sz w:val="24"/>
          <w:szCs w:val="24"/>
          <w:highlight w:val="none"/>
          <w:lang w:val="zh-CN"/>
        </w:rPr>
      </w:pPr>
      <w:r>
        <w:rPr>
          <w:rFonts w:hint="eastAsia" w:ascii="Times New Roman" w:hAnsi="Times New Roman" w:eastAsia="宋体" w:cs="宋体"/>
          <w:b/>
          <w:bCs/>
          <w:color w:val="auto"/>
          <w:sz w:val="24"/>
          <w:szCs w:val="24"/>
          <w:highlight w:val="none"/>
        </w:rPr>
        <w:t>六</w:t>
      </w:r>
      <w:r>
        <w:rPr>
          <w:rFonts w:hint="eastAsia" w:ascii="Times New Roman" w:hAnsi="Times New Roman" w:eastAsia="宋体" w:cs="宋体"/>
          <w:b/>
          <w:bCs/>
          <w:color w:val="auto"/>
          <w:sz w:val="24"/>
          <w:szCs w:val="24"/>
          <w:highlight w:val="none"/>
          <w:lang w:val="zh-CN"/>
        </w:rPr>
        <w:t>、报价说明</w:t>
      </w:r>
    </w:p>
    <w:p>
      <w:pPr>
        <w:snapToGrid w:val="0"/>
        <w:spacing w:line="440" w:lineRule="exact"/>
        <w:ind w:firstLine="482" w:firstLineChars="200"/>
        <w:rPr>
          <w:rFonts w:hint="eastAsia"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本项目所报价格为含门票的人次单价。投标文件中不得包含隐性价格调整条款。</w:t>
      </w:r>
    </w:p>
    <w:p>
      <w:pPr>
        <w:snapToGrid w:val="0"/>
        <w:spacing w:line="440" w:lineRule="exact"/>
        <w:ind w:firstLine="482" w:firstLineChars="200"/>
        <w:rPr>
          <w:rFonts w:hint="eastAsia" w:ascii="Times New Roman" w:hAnsi="Times New Roman" w:eastAsia="宋体" w:cs="宋体"/>
          <w:b/>
          <w:bCs/>
          <w:color w:val="auto"/>
          <w:sz w:val="24"/>
          <w:szCs w:val="24"/>
          <w:highlight w:val="none"/>
          <w:lang w:val="zh-CN"/>
        </w:rPr>
      </w:pPr>
      <w:r>
        <w:rPr>
          <w:rFonts w:hint="eastAsia" w:ascii="Times New Roman" w:hAnsi="Times New Roman" w:eastAsia="宋体" w:cs="宋体"/>
          <w:b/>
          <w:color w:val="auto"/>
          <w:kern w:val="0"/>
          <w:sz w:val="24"/>
          <w:szCs w:val="24"/>
          <w:highlight w:val="none"/>
        </w:rPr>
        <w:t>注明：持《离休证》、《优待证》、《残疾军人证》等减免优惠的相关费用根据实际发生额将在中标价格上进行相应扣除，结算时按扣除减免优惠后的实际单价和人次进行结算。</w:t>
      </w:r>
    </w:p>
    <w:p>
      <w:pPr>
        <w:snapToGrid w:val="0"/>
        <w:spacing w:line="440" w:lineRule="exact"/>
        <w:ind w:firstLine="482" w:firstLineChars="200"/>
        <w:rPr>
          <w:rFonts w:hint="eastAsia" w:ascii="Times New Roman" w:hAnsi="Times New Roman" w:eastAsia="宋体" w:cs="宋体"/>
          <w:b/>
          <w:bCs/>
          <w:color w:val="auto"/>
          <w:sz w:val="24"/>
          <w:szCs w:val="24"/>
          <w:highlight w:val="none"/>
          <w:lang w:val="zh-CN"/>
        </w:rPr>
      </w:pPr>
      <w:r>
        <w:rPr>
          <w:rFonts w:hint="eastAsia" w:ascii="Times New Roman" w:hAnsi="Times New Roman" w:eastAsia="宋体" w:cs="宋体"/>
          <w:b/>
          <w:bCs/>
          <w:color w:val="auto"/>
          <w:sz w:val="24"/>
          <w:szCs w:val="24"/>
          <w:highlight w:val="none"/>
        </w:rPr>
        <w:t>七</w:t>
      </w:r>
      <w:r>
        <w:rPr>
          <w:rFonts w:hint="eastAsia" w:ascii="Times New Roman" w:hAnsi="Times New Roman" w:eastAsia="宋体" w:cs="宋体"/>
          <w:b/>
          <w:bCs/>
          <w:color w:val="auto"/>
          <w:sz w:val="24"/>
          <w:szCs w:val="24"/>
          <w:highlight w:val="none"/>
          <w:lang w:val="zh-CN"/>
        </w:rPr>
        <w:t>、服务要求</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1、交通：往返高铁二等座，南通安排车辆接送站，西安全程安排豪华空调旅游车；</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2、住宿：按照当地四星及以上标准建造的酒店双人间</w:t>
      </w:r>
      <w:r>
        <w:rPr>
          <w:rFonts w:hint="eastAsia" w:ascii="Times New Roman" w:hAnsi="Times New Roman" w:eastAsia="宋体" w:cs="宋体"/>
          <w:b/>
          <w:bCs/>
          <w:color w:val="auto"/>
          <w:sz w:val="24"/>
          <w:szCs w:val="24"/>
          <w:highlight w:val="none"/>
        </w:rPr>
        <w:t>（一人一床；含自助早餐）</w:t>
      </w:r>
      <w:r>
        <w:rPr>
          <w:rFonts w:hint="eastAsia" w:ascii="Times New Roman" w:hAnsi="Times New Roman" w:eastAsia="宋体" w:cs="宋体"/>
          <w:color w:val="auto"/>
          <w:sz w:val="24"/>
          <w:szCs w:val="24"/>
          <w:highlight w:val="none"/>
        </w:rPr>
        <w:t>；</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3、门票：包含行程中所标注景点门票的费用</w:t>
      </w:r>
      <w:r>
        <w:rPr>
          <w:rFonts w:hint="eastAsia" w:ascii="Times New Roman" w:hAnsi="Times New Roman" w:eastAsia="宋体" w:cs="宋体"/>
          <w:b/>
          <w:bCs/>
          <w:color w:val="auto"/>
          <w:sz w:val="24"/>
          <w:szCs w:val="24"/>
          <w:highlight w:val="none"/>
        </w:rPr>
        <w:t>（景区内交通费包含在报价内）</w:t>
      </w:r>
      <w:r>
        <w:rPr>
          <w:rFonts w:hint="eastAsia" w:ascii="Times New Roman" w:hAnsi="Times New Roman" w:eastAsia="宋体" w:cs="宋体"/>
          <w:color w:val="auto"/>
          <w:sz w:val="24"/>
          <w:szCs w:val="24"/>
          <w:highlight w:val="none"/>
        </w:rPr>
        <w:t>；</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4、用餐：全程含餐4早餐9正餐，正餐餐标80元/人，早餐酒店自助餐，正餐安排特色餐。正餐不足9次，按实际正餐次数和标准结算；</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5、服务：全程导游陪同和景点导游讲解；</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6、保险：旅行社责任险保额100万+个人旅游意外险（最高保额为20万元）；</w:t>
      </w:r>
    </w:p>
    <w:p>
      <w:pPr>
        <w:snapToGrid w:val="0"/>
        <w:spacing w:line="440" w:lineRule="exact"/>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7、在疗养行程中不得增加购物店和隐性消费；</w:t>
      </w:r>
    </w:p>
    <w:p>
      <w:pPr>
        <w:snapToGrid w:val="0"/>
        <w:spacing w:line="440" w:lineRule="exact"/>
        <w:ind w:firstLine="480" w:firstLineChars="200"/>
        <w:rPr>
          <w:rFonts w:hint="eastAsia" w:ascii="Times New Roman" w:hAnsi="Times New Roman" w:eastAsia="宋体" w:cs="宋体"/>
          <w:color w:val="auto"/>
          <w:sz w:val="24"/>
          <w:szCs w:val="24"/>
          <w:highlight w:val="none"/>
          <w:lang w:val="zh-CN"/>
        </w:rPr>
      </w:pPr>
      <w:r>
        <w:rPr>
          <w:rFonts w:hint="eastAsia" w:ascii="Times New Roman" w:hAnsi="Times New Roman" w:eastAsia="宋体" w:cs="宋体"/>
          <w:color w:val="auto"/>
          <w:sz w:val="24"/>
          <w:szCs w:val="24"/>
          <w:highlight w:val="none"/>
        </w:rPr>
        <w:t>8、要求派一名随行医疗保健医生。</w:t>
      </w:r>
    </w:p>
    <w:p>
      <w:pPr>
        <w:snapToGrid w:val="0"/>
        <w:spacing w:line="440" w:lineRule="exact"/>
        <w:ind w:firstLine="482" w:firstLineChars="200"/>
        <w:rPr>
          <w:rFonts w:hint="eastAsia" w:ascii="Times New Roman" w:hAnsi="Times New Roman" w:eastAsia="宋体" w:cs="宋体"/>
          <w:b/>
          <w:bCs/>
          <w:color w:val="auto"/>
          <w:sz w:val="24"/>
          <w:szCs w:val="24"/>
          <w:highlight w:val="none"/>
          <w:lang w:val="zh-CN"/>
        </w:rPr>
      </w:pPr>
      <w:r>
        <w:rPr>
          <w:rFonts w:hint="eastAsia" w:ascii="Times New Roman" w:hAnsi="Times New Roman" w:eastAsia="宋体" w:cs="宋体"/>
          <w:b/>
          <w:bCs/>
          <w:color w:val="auto"/>
          <w:sz w:val="24"/>
          <w:szCs w:val="24"/>
          <w:highlight w:val="none"/>
        </w:rPr>
        <w:t>八</w:t>
      </w:r>
      <w:r>
        <w:rPr>
          <w:rFonts w:hint="eastAsia" w:ascii="Times New Roman" w:hAnsi="Times New Roman" w:eastAsia="宋体" w:cs="宋体"/>
          <w:b/>
          <w:bCs/>
          <w:color w:val="auto"/>
          <w:sz w:val="24"/>
          <w:szCs w:val="24"/>
          <w:highlight w:val="none"/>
          <w:lang w:val="zh-CN"/>
        </w:rPr>
        <w:t>、结算方式</w:t>
      </w:r>
    </w:p>
    <w:p>
      <w:pPr>
        <w:snapToGrid w:val="0"/>
        <w:spacing w:line="440" w:lineRule="exact"/>
        <w:ind w:firstLine="480" w:firstLineChars="200"/>
        <w:rPr>
          <w:rFonts w:hint="eastAsia" w:ascii="Times New Roman" w:hAnsi="Times New Roman" w:eastAsia="宋体" w:cs="宋体"/>
          <w:bCs/>
          <w:color w:val="auto"/>
          <w:sz w:val="24"/>
          <w:szCs w:val="24"/>
          <w:highlight w:val="none"/>
          <w:lang w:val="zh-CN"/>
        </w:rPr>
      </w:pPr>
      <w:r>
        <w:rPr>
          <w:rFonts w:hint="eastAsia" w:ascii="Times New Roman" w:hAnsi="Times New Roman" w:eastAsia="宋体" w:cs="宋体"/>
          <w:bCs/>
          <w:color w:val="auto"/>
          <w:sz w:val="24"/>
          <w:szCs w:val="24"/>
          <w:highlight w:val="none"/>
          <w:lang w:val="zh-CN"/>
        </w:rPr>
        <w:t>1、结算：在疗养活动圆满结束后，按实际参加疗养人员数量进行结算。</w:t>
      </w:r>
    </w:p>
    <w:p>
      <w:pPr>
        <w:snapToGrid w:val="0"/>
        <w:spacing w:line="440" w:lineRule="exact"/>
        <w:ind w:firstLine="480" w:firstLineChars="200"/>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zh-CN"/>
        </w:rPr>
        <w:t>2、付款：项目实施结束后且服务质量获得采购人认可后，旅游公司提供正规发票及明细清单由采购人单位核实后15日内一次性付清。每笔款项支付时，成交商同时向采购人提供相应金额的正式发票。</w:t>
      </w:r>
    </w:p>
    <w:p>
      <w:pPr>
        <w:snapToGrid w:val="0"/>
        <w:spacing w:line="440" w:lineRule="exact"/>
        <w:ind w:firstLine="496" w:firstLineChars="206"/>
        <w:contextualSpacing/>
        <w:rPr>
          <w:rFonts w:ascii="Times New Roman" w:hAnsi="Times New Roman" w:eastAsia="宋体" w:cs="宋体"/>
          <w:b/>
          <w:bCs/>
          <w:color w:val="auto"/>
          <w:sz w:val="24"/>
          <w:szCs w:val="24"/>
          <w:highlight w:val="none"/>
          <w:lang w:val="zh-CN"/>
        </w:rPr>
      </w:pPr>
      <w:r>
        <w:rPr>
          <w:rFonts w:hint="eastAsia" w:ascii="Times New Roman" w:hAnsi="Times New Roman" w:eastAsia="宋体" w:cs="宋体"/>
          <w:b/>
          <w:bCs/>
          <w:color w:val="auto"/>
          <w:sz w:val="24"/>
          <w:szCs w:val="24"/>
          <w:highlight w:val="none"/>
        </w:rPr>
        <w:t>九</w:t>
      </w:r>
      <w:r>
        <w:rPr>
          <w:rFonts w:hint="eastAsia" w:ascii="Times New Roman" w:hAnsi="Times New Roman" w:eastAsia="宋体" w:cs="宋体"/>
          <w:b/>
          <w:bCs/>
          <w:color w:val="auto"/>
          <w:sz w:val="24"/>
          <w:szCs w:val="24"/>
          <w:highlight w:val="none"/>
          <w:lang w:val="zh-CN"/>
        </w:rPr>
        <w:t>、注意事项</w:t>
      </w:r>
    </w:p>
    <w:p>
      <w:pPr>
        <w:snapToGrid w:val="0"/>
        <w:spacing w:line="440" w:lineRule="exact"/>
        <w:ind w:firstLine="480" w:firstLineChars="200"/>
        <w:jc w:val="left"/>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1、供应商及工作人员要对疗养活动的各个具体环节做好充分准备、发现排除各种安全隐患，做到到优质服务、满意服务。</w:t>
      </w:r>
    </w:p>
    <w:p>
      <w:pPr>
        <w:snapToGrid w:val="0"/>
        <w:spacing w:line="440" w:lineRule="exact"/>
        <w:ind w:firstLine="480" w:firstLineChars="200"/>
        <w:jc w:val="left"/>
        <w:rPr>
          <w:rFonts w:ascii="Times New Roman" w:hAnsi="Times New Roman" w:eastAsia="宋体"/>
          <w:snapToGrid w:val="0"/>
          <w:color w:val="auto"/>
          <w:kern w:val="0"/>
          <w:sz w:val="24"/>
          <w:szCs w:val="24"/>
          <w:highlight w:val="none"/>
        </w:rPr>
      </w:pPr>
      <w:r>
        <w:rPr>
          <w:rFonts w:hint="eastAsia" w:ascii="Times New Roman" w:hAnsi="Times New Roman" w:eastAsia="宋体"/>
          <w:color w:val="auto"/>
          <w:sz w:val="24"/>
          <w:szCs w:val="24"/>
          <w:highlight w:val="none"/>
        </w:rPr>
        <w:t>2、荣誉疗养以休为主，让军休干部既愉悦身心，又受到教育。</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WM1NzIxZGEzZmI1YmZjNmVkNTUyMjViOTQyM2YifQ=="/>
  </w:docVars>
  <w:rsids>
    <w:rsidRoot w:val="5CAE09D3"/>
    <w:rsid w:val="21332EED"/>
    <w:rsid w:val="325C7196"/>
    <w:rsid w:val="49727DF7"/>
    <w:rsid w:val="4CA8484E"/>
    <w:rsid w:val="53EE733A"/>
    <w:rsid w:val="5CAE09D3"/>
    <w:rsid w:val="63EB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6"/>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outlineLvl w:val="0"/>
    </w:pPr>
    <w:rPr>
      <w:rFonts w:asciiTheme="minorAscii" w:hAnsiTheme="minorAscii"/>
      <w:b/>
      <w:kern w:val="44"/>
      <w:sz w:val="44"/>
    </w:rPr>
  </w:style>
  <w:style w:type="paragraph" w:styleId="6">
    <w:name w:val="heading 3"/>
    <w:basedOn w:val="1"/>
    <w:next w:val="1"/>
    <w:semiHidden/>
    <w:unhideWhenUsed/>
    <w:qFormat/>
    <w:uiPriority w:val="0"/>
    <w:pPr>
      <w:keepNext/>
      <w:keepLines/>
      <w:spacing w:beforeLines="0" w:beforeAutospacing="0" w:afterLines="0" w:afterAutospacing="0" w:line="360" w:lineRule="auto"/>
      <w:ind w:firstLine="0" w:firstLineChars="0"/>
      <w:outlineLvl w:val="2"/>
    </w:pPr>
    <w:rPr>
      <w:b/>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sz w:val="21"/>
    </w:rPr>
  </w:style>
  <w:style w:type="paragraph" w:styleId="3">
    <w:name w:val="Body Text"/>
    <w:basedOn w:val="1"/>
    <w:next w:val="1"/>
    <w:qFormat/>
    <w:uiPriority w:val="1"/>
    <w:rPr>
      <w:rFonts w:ascii="仿宋" w:hAnsi="仿宋" w:eastAsia="仿宋" w:cs="仿宋"/>
      <w:sz w:val="24"/>
      <w:szCs w:val="24"/>
    </w:rPr>
  </w:style>
  <w:style w:type="paragraph" w:styleId="4">
    <w:name w:val="toc 6"/>
    <w:basedOn w:val="1"/>
    <w:next w:val="1"/>
    <w:qFormat/>
    <w:uiPriority w:val="0"/>
    <w:pPr>
      <w:ind w:left="2100"/>
    </w:pPr>
    <w:rPr>
      <w:rFonts w:ascii="Calibri" w:hAnsi="Calibri" w:eastAsia="楷体_GB2312" w:cs="Times New Roman"/>
      <w:sz w:val="26"/>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2026-05-09T05:31:00Z</dcterms:created>
  <dc:creator>污妖王</dc:creator>
  <cp:lastModifiedBy>污妖王</cp:lastModifiedBy>
  <dcterms:modified xsi:type="dcterms:W3CDTF">2026-05-09T05:33:07Z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8E8E9716AE164290B87B01DB824F4070_11</vt:lpwstr>
  </property>
</Properties>
</file>