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CF1B9">
      <w:pPr>
        <w:pStyle w:val="15"/>
        <w:spacing w:line="360" w:lineRule="auto"/>
        <w:rPr>
          <w:rFonts w:ascii="仿宋" w:hAnsi="仿宋" w:eastAsia="仿宋"/>
          <w:b/>
          <w:bCs/>
          <w:sz w:val="23"/>
          <w:szCs w:val="23"/>
        </w:rPr>
      </w:pPr>
    </w:p>
    <w:p w14:paraId="44489EC9">
      <w:pPr>
        <w:pStyle w:val="14"/>
        <w:spacing w:line="360" w:lineRule="auto"/>
        <w:ind w:left="803" w:hanging="803"/>
        <w:jc w:val="center"/>
        <w:rPr>
          <w:rFonts w:ascii="仿宋" w:hAnsi="仿宋" w:eastAsia="仿宋"/>
          <w:b/>
          <w:bCs/>
          <w:sz w:val="40"/>
          <w:szCs w:val="40"/>
        </w:rPr>
      </w:pPr>
    </w:p>
    <w:p w14:paraId="4B5C48E9">
      <w:pPr>
        <w:pStyle w:val="14"/>
        <w:spacing w:line="360" w:lineRule="auto"/>
        <w:ind w:left="803" w:hanging="803"/>
        <w:jc w:val="center"/>
        <w:rPr>
          <w:rFonts w:hint="eastAsia" w:ascii="仿宋" w:hAnsi="仿宋" w:eastAsia="仿宋"/>
          <w:b/>
          <w:bCs/>
          <w:sz w:val="40"/>
          <w:szCs w:val="40"/>
          <w:lang w:eastAsia="zh-CN"/>
        </w:rPr>
      </w:pPr>
      <w:bookmarkStart w:id="2" w:name="_GoBack"/>
      <w:r>
        <w:rPr>
          <w:rFonts w:hint="eastAsia" w:ascii="仿宋" w:hAnsi="仿宋" w:eastAsia="仿宋"/>
          <w:b/>
          <w:bCs/>
          <w:sz w:val="40"/>
          <w:szCs w:val="40"/>
        </w:rPr>
        <w:t>2024</w:t>
      </w:r>
      <w:bookmarkEnd w:id="2"/>
      <w:r>
        <w:rPr>
          <w:rFonts w:hint="eastAsia" w:ascii="仿宋" w:hAnsi="仿宋" w:eastAsia="仿宋"/>
          <w:b/>
          <w:bCs/>
          <w:sz w:val="40"/>
          <w:szCs w:val="40"/>
        </w:rPr>
        <w:t>～2025年优抚对象短期疗养工作体检项目</w:t>
      </w:r>
      <w:r>
        <w:rPr>
          <w:rFonts w:hint="eastAsia" w:ascii="仿宋" w:hAnsi="仿宋" w:eastAsia="仿宋"/>
          <w:b/>
          <w:bCs/>
          <w:sz w:val="40"/>
          <w:szCs w:val="40"/>
          <w:lang w:eastAsia="zh-CN"/>
        </w:rPr>
        <w:t>（第三次）</w:t>
      </w:r>
    </w:p>
    <w:p w14:paraId="5B148BB9">
      <w:pPr>
        <w:pStyle w:val="14"/>
        <w:spacing w:line="360" w:lineRule="auto"/>
        <w:ind w:left="803" w:hanging="803"/>
        <w:jc w:val="center"/>
        <w:rPr>
          <w:rFonts w:hint="eastAsia" w:ascii="仿宋" w:hAnsi="仿宋" w:eastAsia="仿宋"/>
          <w:b/>
          <w:bCs/>
          <w:sz w:val="40"/>
          <w:szCs w:val="40"/>
        </w:rPr>
      </w:pPr>
    </w:p>
    <w:p w14:paraId="70204915">
      <w:pPr>
        <w:pStyle w:val="14"/>
        <w:spacing w:line="360" w:lineRule="auto"/>
        <w:ind w:left="803" w:hanging="803"/>
        <w:jc w:val="center"/>
        <w:rPr>
          <w:rFonts w:hint="eastAsia" w:ascii="仿宋" w:hAnsi="仿宋" w:eastAsia="仿宋"/>
          <w:b/>
          <w:bCs/>
          <w:sz w:val="40"/>
          <w:szCs w:val="40"/>
        </w:rPr>
      </w:pPr>
    </w:p>
    <w:p w14:paraId="192F19F6">
      <w:pPr>
        <w:pStyle w:val="14"/>
        <w:spacing w:line="360" w:lineRule="auto"/>
        <w:ind w:left="803" w:hanging="803"/>
        <w:jc w:val="center"/>
        <w:rPr>
          <w:rFonts w:ascii="仿宋" w:hAnsi="仿宋" w:eastAsia="仿宋"/>
          <w:b/>
          <w:bCs/>
          <w:sz w:val="40"/>
          <w:szCs w:val="40"/>
        </w:rPr>
      </w:pPr>
      <w:r>
        <w:rPr>
          <w:rFonts w:ascii="仿宋" w:hAnsi="仿宋" w:eastAsia="仿宋"/>
          <w:b/>
          <w:bCs/>
          <w:sz w:val="40"/>
          <w:szCs w:val="40"/>
        </w:rPr>
        <w:t>竞争性磋商文件</w:t>
      </w:r>
    </w:p>
    <w:p w14:paraId="78293D16">
      <w:pPr>
        <w:pStyle w:val="15"/>
        <w:rPr>
          <w:rFonts w:ascii="仿宋" w:hAnsi="仿宋" w:eastAsia="仿宋"/>
          <w:b/>
          <w:bCs/>
          <w:sz w:val="40"/>
          <w:szCs w:val="40"/>
        </w:rPr>
      </w:pPr>
    </w:p>
    <w:p w14:paraId="782A65F1">
      <w:pPr>
        <w:pStyle w:val="15"/>
        <w:rPr>
          <w:rFonts w:ascii="仿宋" w:hAnsi="仿宋" w:eastAsia="仿宋"/>
          <w:b/>
          <w:bCs/>
          <w:sz w:val="40"/>
          <w:szCs w:val="40"/>
        </w:rPr>
      </w:pPr>
    </w:p>
    <w:p w14:paraId="28B81DFB">
      <w:pPr>
        <w:pStyle w:val="19"/>
        <w:ind w:firstLine="0"/>
        <w:jc w:val="center"/>
        <w:rPr>
          <w:rFonts w:ascii="仿宋" w:hAnsi="仿宋" w:eastAsia="仿宋"/>
          <w:b/>
          <w:bCs/>
          <w:sz w:val="40"/>
          <w:szCs w:val="40"/>
        </w:rPr>
      </w:pPr>
      <w:r>
        <w:rPr>
          <w:rFonts w:ascii="仿宋" w:hAnsi="仿宋" w:eastAsia="仿宋"/>
          <w:b/>
          <w:bCs/>
          <w:sz w:val="40"/>
          <w:szCs w:val="40"/>
        </w:rPr>
        <w:t xml:space="preserve"> </w:t>
      </w:r>
    </w:p>
    <w:p w14:paraId="7C304380">
      <w:pPr>
        <w:pStyle w:val="19"/>
        <w:ind w:left="148" w:firstLine="0"/>
        <w:rPr>
          <w:rFonts w:ascii="仿宋" w:hAnsi="仿宋" w:eastAsia="仿宋"/>
          <w:b/>
          <w:bCs/>
          <w:sz w:val="32"/>
          <w:szCs w:val="32"/>
        </w:rPr>
      </w:pPr>
    </w:p>
    <w:p w14:paraId="46960FC6">
      <w:pPr>
        <w:pStyle w:val="19"/>
        <w:ind w:left="148" w:firstLine="0"/>
        <w:rPr>
          <w:rFonts w:ascii="仿宋" w:hAnsi="仿宋" w:eastAsia="仿宋"/>
          <w:b/>
          <w:bCs/>
          <w:sz w:val="32"/>
          <w:szCs w:val="32"/>
        </w:rPr>
      </w:pPr>
    </w:p>
    <w:p w14:paraId="2512B56D">
      <w:pPr>
        <w:pStyle w:val="19"/>
        <w:ind w:left="148" w:firstLine="0"/>
        <w:rPr>
          <w:rFonts w:ascii="仿宋" w:hAnsi="仿宋" w:eastAsia="仿宋"/>
          <w:b/>
          <w:bCs/>
          <w:sz w:val="32"/>
          <w:szCs w:val="32"/>
        </w:rPr>
      </w:pPr>
    </w:p>
    <w:p w14:paraId="2B47268C">
      <w:pPr>
        <w:pStyle w:val="19"/>
        <w:ind w:left="148" w:firstLine="0"/>
        <w:rPr>
          <w:rFonts w:ascii="仿宋" w:hAnsi="仿宋" w:eastAsia="仿宋"/>
          <w:b/>
          <w:bCs/>
          <w:sz w:val="32"/>
          <w:szCs w:val="32"/>
        </w:rPr>
      </w:pPr>
    </w:p>
    <w:p w14:paraId="1CC8297A">
      <w:pPr>
        <w:pStyle w:val="19"/>
        <w:ind w:left="148" w:firstLine="0"/>
        <w:rPr>
          <w:rFonts w:ascii="仿宋" w:hAnsi="仿宋" w:eastAsia="仿宋"/>
          <w:b/>
          <w:bCs/>
          <w:sz w:val="32"/>
          <w:szCs w:val="32"/>
        </w:rPr>
      </w:pPr>
    </w:p>
    <w:p w14:paraId="79E37629">
      <w:pPr>
        <w:pStyle w:val="19"/>
        <w:ind w:left="148" w:firstLine="0"/>
        <w:rPr>
          <w:rFonts w:ascii="仿宋" w:hAnsi="仿宋" w:eastAsia="仿宋"/>
          <w:b/>
          <w:bCs/>
          <w:sz w:val="32"/>
          <w:szCs w:val="32"/>
        </w:rPr>
      </w:pPr>
    </w:p>
    <w:p w14:paraId="347DC960">
      <w:pPr>
        <w:pStyle w:val="19"/>
        <w:ind w:left="148" w:firstLine="0"/>
        <w:rPr>
          <w:rFonts w:ascii="仿宋" w:hAnsi="仿宋" w:eastAsia="仿宋"/>
          <w:b/>
          <w:bCs/>
          <w:sz w:val="32"/>
          <w:szCs w:val="32"/>
        </w:rPr>
      </w:pPr>
      <w:r>
        <w:rPr>
          <w:rFonts w:ascii="仿宋" w:hAnsi="仿宋" w:eastAsia="仿宋"/>
          <w:b/>
          <w:bCs/>
          <w:sz w:val="32"/>
          <w:szCs w:val="32"/>
        </w:rPr>
        <w:t>采   购  人 :</w:t>
      </w:r>
      <w:r>
        <w:rPr>
          <w:rFonts w:hint="eastAsia" w:ascii="仿宋" w:hAnsi="仿宋" w:eastAsia="仿宋"/>
          <w:b/>
          <w:bCs/>
          <w:sz w:val="32"/>
          <w:szCs w:val="32"/>
        </w:rPr>
        <w:t xml:space="preserve"> </w:t>
      </w:r>
      <w:r>
        <w:rPr>
          <w:rFonts w:hint="eastAsia" w:ascii="仿宋" w:hAnsi="仿宋" w:eastAsia="仿宋"/>
          <w:b/>
          <w:bCs/>
          <w:sz w:val="32"/>
          <w:szCs w:val="32"/>
          <w:u w:val="single"/>
        </w:rPr>
        <w:t xml:space="preserve">南通市假肢修配站              </w:t>
      </w:r>
    </w:p>
    <w:p w14:paraId="48EFFC17">
      <w:pPr>
        <w:pStyle w:val="19"/>
        <w:ind w:left="148" w:firstLine="0"/>
        <w:rPr>
          <w:rFonts w:ascii="仿宋" w:hAnsi="仿宋" w:eastAsia="仿宋"/>
          <w:b/>
          <w:bCs/>
          <w:sz w:val="32"/>
          <w:szCs w:val="32"/>
          <w:u w:val="single"/>
        </w:rPr>
      </w:pPr>
      <w:r>
        <w:rPr>
          <w:rFonts w:ascii="仿宋" w:hAnsi="仿宋" w:eastAsia="仿宋"/>
          <w:b/>
          <w:bCs/>
          <w:sz w:val="32"/>
          <w:szCs w:val="32"/>
        </w:rPr>
        <w:t>招标代理机构:</w:t>
      </w:r>
      <w:r>
        <w:rPr>
          <w:rFonts w:hint="eastAsia" w:ascii="仿宋" w:hAnsi="仿宋" w:eastAsia="仿宋"/>
          <w:b/>
          <w:bCs/>
          <w:sz w:val="32"/>
          <w:szCs w:val="32"/>
          <w:u w:val="single"/>
        </w:rPr>
        <w:t xml:space="preserve"> 江苏全通工程技术有限公司     </w:t>
      </w:r>
    </w:p>
    <w:p w14:paraId="39EFD004">
      <w:pPr>
        <w:pStyle w:val="14"/>
        <w:ind w:firstLine="199" w:firstLineChars="62"/>
      </w:pPr>
      <w:r>
        <w:rPr>
          <w:rFonts w:ascii="仿宋" w:hAnsi="仿宋" w:eastAsia="仿宋"/>
          <w:b/>
          <w:bCs/>
          <w:kern w:val="0"/>
          <w:sz w:val="32"/>
          <w:szCs w:val="32"/>
        </w:rPr>
        <w:t xml:space="preserve">日    </w:t>
      </w:r>
      <w:r>
        <w:rPr>
          <w:rFonts w:hint="eastAsia" w:ascii="仿宋" w:hAnsi="仿宋" w:eastAsia="仿宋"/>
          <w:b/>
          <w:bCs/>
          <w:kern w:val="0"/>
          <w:sz w:val="32"/>
          <w:szCs w:val="32"/>
        </w:rPr>
        <w:t xml:space="preserve"> </w:t>
      </w:r>
      <w:r>
        <w:rPr>
          <w:rFonts w:ascii="仿宋" w:hAnsi="仿宋" w:eastAsia="仿宋"/>
          <w:b/>
          <w:bCs/>
          <w:kern w:val="0"/>
          <w:sz w:val="32"/>
          <w:szCs w:val="32"/>
        </w:rPr>
        <w:t xml:space="preserve"> 期 :</w:t>
      </w:r>
      <w:r>
        <w:rPr>
          <w:rFonts w:hint="eastAsia" w:ascii="仿宋" w:hAnsi="仿宋" w:eastAsia="仿宋"/>
          <w:b/>
          <w:bCs/>
          <w:kern w:val="0"/>
          <w:sz w:val="32"/>
          <w:szCs w:val="32"/>
        </w:rPr>
        <w:t xml:space="preserve"> </w:t>
      </w:r>
      <w:r>
        <w:rPr>
          <w:rFonts w:hint="eastAsia" w:ascii="仿宋" w:hAnsi="仿宋" w:eastAsia="仿宋"/>
          <w:b/>
          <w:bCs/>
          <w:kern w:val="0"/>
          <w:sz w:val="32"/>
          <w:szCs w:val="32"/>
          <w:u w:val="single"/>
        </w:rPr>
        <w:t xml:space="preserve"> </w:t>
      </w:r>
      <w:r>
        <w:rPr>
          <w:rFonts w:ascii="仿宋" w:hAnsi="仿宋" w:eastAsia="仿宋"/>
          <w:b/>
          <w:bCs/>
          <w:kern w:val="0"/>
          <w:sz w:val="32"/>
          <w:szCs w:val="32"/>
          <w:u w:val="single"/>
        </w:rPr>
        <w:t>202</w:t>
      </w:r>
      <w:r>
        <w:rPr>
          <w:rFonts w:hint="eastAsia" w:ascii="仿宋" w:hAnsi="仿宋" w:eastAsia="仿宋"/>
          <w:b/>
          <w:bCs/>
          <w:kern w:val="0"/>
          <w:sz w:val="32"/>
          <w:szCs w:val="32"/>
          <w:u w:val="single"/>
        </w:rPr>
        <w:t xml:space="preserve">4 </w:t>
      </w:r>
      <w:r>
        <w:rPr>
          <w:rFonts w:ascii="仿宋" w:hAnsi="仿宋" w:eastAsia="仿宋"/>
          <w:b/>
          <w:bCs/>
          <w:kern w:val="0"/>
          <w:sz w:val="32"/>
          <w:szCs w:val="32"/>
          <w:u w:val="single"/>
        </w:rPr>
        <w:t>年</w:t>
      </w:r>
      <w:r>
        <w:rPr>
          <w:rFonts w:hint="eastAsia" w:ascii="仿宋" w:hAnsi="仿宋" w:eastAsia="仿宋"/>
          <w:b/>
          <w:bCs/>
          <w:kern w:val="0"/>
          <w:sz w:val="32"/>
          <w:szCs w:val="32"/>
          <w:u w:val="single"/>
        </w:rPr>
        <w:t>7</w:t>
      </w:r>
      <w:r>
        <w:rPr>
          <w:rFonts w:ascii="仿宋" w:hAnsi="仿宋" w:eastAsia="仿宋"/>
          <w:b/>
          <w:bCs/>
          <w:kern w:val="0"/>
          <w:sz w:val="32"/>
          <w:szCs w:val="32"/>
          <w:u w:val="single"/>
        </w:rPr>
        <w:t>月</w:t>
      </w:r>
      <w:r>
        <w:rPr>
          <w:rFonts w:hint="eastAsia" w:ascii="仿宋" w:hAnsi="仿宋" w:eastAsia="仿宋"/>
          <w:b/>
          <w:bCs/>
          <w:kern w:val="0"/>
          <w:sz w:val="32"/>
          <w:szCs w:val="32"/>
          <w:u w:val="single"/>
        </w:rPr>
        <w:t xml:space="preserve">             </w:t>
      </w:r>
      <w:r>
        <w:rPr>
          <w:rFonts w:hint="eastAsia" w:ascii="仿宋" w:hAnsi="仿宋" w:eastAsia="仿宋"/>
          <w:b/>
          <w:bCs/>
          <w:kern w:val="0"/>
          <w:sz w:val="32"/>
          <w:szCs w:val="32"/>
        </w:rPr>
        <w:t xml:space="preserve">    </w:t>
      </w:r>
    </w:p>
    <w:p w14:paraId="7B6E24DA">
      <w:pPr>
        <w:pStyle w:val="15"/>
        <w:spacing w:line="360" w:lineRule="auto"/>
        <w:rPr>
          <w:rFonts w:ascii="仿宋" w:hAnsi="仿宋" w:eastAsia="仿宋"/>
          <w:b/>
          <w:bCs/>
          <w:sz w:val="23"/>
          <w:szCs w:val="23"/>
        </w:rPr>
      </w:pPr>
    </w:p>
    <w:p w14:paraId="60F30054">
      <w:pPr>
        <w:pStyle w:val="15"/>
        <w:spacing w:line="360" w:lineRule="auto"/>
        <w:rPr>
          <w:rFonts w:ascii="仿宋" w:hAnsi="仿宋" w:eastAsia="仿宋"/>
          <w:b/>
          <w:bCs/>
          <w:sz w:val="23"/>
          <w:szCs w:val="23"/>
        </w:rPr>
      </w:pPr>
    </w:p>
    <w:p w14:paraId="59BCA6EA">
      <w:pPr>
        <w:widowControl/>
        <w:jc w:val="center"/>
        <w:rPr>
          <w:rFonts w:ascii="仿宋" w:hAnsi="仿宋" w:eastAsia="仿宋"/>
          <w:b/>
          <w:bCs/>
          <w:kern w:val="2"/>
          <w:sz w:val="36"/>
          <w:szCs w:val="36"/>
          <w:lang w:bidi="ar-SA"/>
        </w:rPr>
      </w:pPr>
      <w:r>
        <w:rPr>
          <w:rFonts w:ascii="仿宋" w:hAnsi="仿宋" w:eastAsia="仿宋"/>
          <w:b/>
          <w:bCs/>
          <w:sz w:val="36"/>
          <w:szCs w:val="36"/>
        </w:rPr>
        <w:t>目录</w:t>
      </w:r>
    </w:p>
    <w:p w14:paraId="3235E85A">
      <w:pPr>
        <w:pStyle w:val="14"/>
        <w:spacing w:line="360" w:lineRule="auto"/>
        <w:jc w:val="center"/>
        <w:rPr>
          <w:rFonts w:ascii="仿宋" w:hAnsi="仿宋" w:eastAsia="仿宋"/>
          <w:b/>
          <w:bCs/>
          <w:sz w:val="28"/>
          <w:szCs w:val="28"/>
        </w:rPr>
      </w:pPr>
      <w:r>
        <w:rPr>
          <w:rFonts w:ascii="仿宋" w:hAnsi="仿宋" w:eastAsia="仿宋"/>
          <w:b/>
          <w:bCs/>
          <w:sz w:val="28"/>
          <w:szCs w:val="28"/>
        </w:rPr>
        <w:t xml:space="preserve"> </w:t>
      </w:r>
    </w:p>
    <w:p w14:paraId="04C69318">
      <w:pPr>
        <w:pStyle w:val="14"/>
        <w:spacing w:line="360" w:lineRule="auto"/>
        <w:rPr>
          <w:rFonts w:ascii="仿宋" w:hAnsi="仿宋" w:eastAsia="仿宋"/>
          <w:sz w:val="28"/>
          <w:szCs w:val="28"/>
        </w:rPr>
      </w:pPr>
      <w:r>
        <w:rPr>
          <w:rFonts w:ascii="仿宋" w:hAnsi="仿宋" w:eastAsia="仿宋"/>
          <w:sz w:val="28"/>
          <w:szCs w:val="28"/>
        </w:rPr>
        <w:t>第一章竞争性磋商采购邀请</w:t>
      </w:r>
    </w:p>
    <w:p w14:paraId="3451924D">
      <w:pPr>
        <w:pStyle w:val="14"/>
        <w:spacing w:line="360" w:lineRule="auto"/>
        <w:rPr>
          <w:rFonts w:ascii="仿宋" w:hAnsi="仿宋" w:eastAsia="仿宋"/>
          <w:sz w:val="28"/>
          <w:szCs w:val="28"/>
        </w:rPr>
      </w:pPr>
      <w:r>
        <w:rPr>
          <w:rFonts w:ascii="仿宋" w:hAnsi="仿宋" w:eastAsia="仿宋"/>
          <w:sz w:val="28"/>
          <w:szCs w:val="28"/>
        </w:rPr>
        <w:t>第二章磋商须知</w:t>
      </w:r>
    </w:p>
    <w:p w14:paraId="346E99EF">
      <w:pPr>
        <w:pStyle w:val="14"/>
        <w:spacing w:line="360" w:lineRule="auto"/>
        <w:rPr>
          <w:rFonts w:ascii="仿宋" w:hAnsi="仿宋" w:eastAsia="仿宋"/>
          <w:sz w:val="28"/>
          <w:szCs w:val="28"/>
        </w:rPr>
      </w:pPr>
      <w:r>
        <w:rPr>
          <w:rFonts w:ascii="仿宋" w:hAnsi="仿宋" w:eastAsia="仿宋"/>
          <w:sz w:val="28"/>
          <w:szCs w:val="28"/>
        </w:rPr>
        <w:t>第三章采购合同条款及格式</w:t>
      </w:r>
    </w:p>
    <w:p w14:paraId="3BC9EDC4">
      <w:pPr>
        <w:pStyle w:val="14"/>
        <w:spacing w:line="360" w:lineRule="auto"/>
        <w:rPr>
          <w:rFonts w:ascii="仿宋" w:hAnsi="仿宋" w:eastAsia="仿宋"/>
          <w:sz w:val="28"/>
          <w:szCs w:val="28"/>
        </w:rPr>
      </w:pPr>
      <w:r>
        <w:rPr>
          <w:rFonts w:ascii="仿宋" w:hAnsi="仿宋" w:eastAsia="仿宋"/>
          <w:sz w:val="28"/>
          <w:szCs w:val="28"/>
        </w:rPr>
        <w:t>第四章项目工作内容和技术要求</w:t>
      </w:r>
    </w:p>
    <w:p w14:paraId="6D47E577">
      <w:pPr>
        <w:pStyle w:val="14"/>
        <w:spacing w:line="360" w:lineRule="auto"/>
        <w:rPr>
          <w:rFonts w:ascii="仿宋" w:hAnsi="仿宋" w:eastAsia="仿宋"/>
          <w:sz w:val="28"/>
          <w:szCs w:val="28"/>
        </w:rPr>
      </w:pPr>
      <w:r>
        <w:rPr>
          <w:rFonts w:ascii="仿宋" w:hAnsi="仿宋" w:eastAsia="仿宋"/>
          <w:sz w:val="28"/>
          <w:szCs w:val="28"/>
        </w:rPr>
        <w:t>第五章资格审查</w:t>
      </w:r>
    </w:p>
    <w:p w14:paraId="6123325D">
      <w:pPr>
        <w:pStyle w:val="20"/>
        <w:spacing w:line="360" w:lineRule="auto"/>
        <w:jc w:val="left"/>
        <w:rPr>
          <w:rFonts w:ascii="仿宋" w:hAnsi="仿宋" w:eastAsia="仿宋"/>
          <w:sz w:val="28"/>
          <w:szCs w:val="28"/>
        </w:rPr>
      </w:pPr>
      <w:r>
        <w:rPr>
          <w:rFonts w:ascii="仿宋" w:hAnsi="仿宋" w:eastAsia="仿宋"/>
          <w:sz w:val="28"/>
          <w:szCs w:val="28"/>
        </w:rPr>
        <w:t>第六章评审方法和评审标准</w:t>
      </w:r>
    </w:p>
    <w:p w14:paraId="2E946B8C">
      <w:pPr>
        <w:pStyle w:val="17"/>
        <w:spacing w:before="0" w:after="0" w:line="360" w:lineRule="auto"/>
        <w:jc w:val="left"/>
        <w:rPr>
          <w:rFonts w:ascii="仿宋" w:hAnsi="仿宋" w:eastAsia="仿宋"/>
          <w:b w:val="0"/>
          <w:bCs w:val="0"/>
          <w:sz w:val="28"/>
          <w:szCs w:val="28"/>
        </w:rPr>
      </w:pPr>
      <w:r>
        <w:rPr>
          <w:rFonts w:ascii="仿宋" w:hAnsi="仿宋" w:eastAsia="仿宋"/>
          <w:b w:val="0"/>
          <w:bCs w:val="0"/>
          <w:sz w:val="28"/>
          <w:szCs w:val="28"/>
        </w:rPr>
        <w:t>第七章竞争性供应商响应文件组成</w:t>
      </w:r>
    </w:p>
    <w:p w14:paraId="27C16FC7">
      <w:pPr>
        <w:pStyle w:val="15"/>
        <w:spacing w:line="360" w:lineRule="auto"/>
        <w:rPr>
          <w:rFonts w:ascii="仿宋" w:hAnsi="仿宋" w:eastAsia="仿宋"/>
          <w:b/>
          <w:bCs/>
          <w:sz w:val="23"/>
          <w:szCs w:val="23"/>
        </w:rPr>
      </w:pPr>
    </w:p>
    <w:p w14:paraId="745A8118">
      <w:pPr>
        <w:pStyle w:val="15"/>
        <w:spacing w:line="360" w:lineRule="auto"/>
        <w:rPr>
          <w:rFonts w:ascii="仿宋" w:hAnsi="仿宋" w:eastAsia="仿宋"/>
          <w:b/>
          <w:bCs/>
          <w:sz w:val="23"/>
          <w:szCs w:val="23"/>
        </w:rPr>
      </w:pPr>
    </w:p>
    <w:p w14:paraId="6B67CF62">
      <w:pPr>
        <w:widowControl/>
        <w:jc w:val="left"/>
        <w:rPr>
          <w:rFonts w:ascii="仿宋" w:hAnsi="仿宋" w:eastAsia="仿宋"/>
          <w:b/>
          <w:bCs/>
          <w:kern w:val="2"/>
          <w:sz w:val="32"/>
          <w:szCs w:val="32"/>
          <w:lang w:bidi="ar-SA"/>
        </w:rPr>
      </w:pPr>
      <w:r>
        <w:rPr>
          <w:rFonts w:ascii="仿宋" w:hAnsi="仿宋" w:eastAsia="仿宋"/>
          <w:b/>
          <w:bCs/>
          <w:sz w:val="32"/>
          <w:szCs w:val="32"/>
        </w:rPr>
        <w:br w:type="page"/>
      </w:r>
    </w:p>
    <w:p w14:paraId="13F2B3CA">
      <w:pPr>
        <w:pStyle w:val="14"/>
        <w:spacing w:line="360" w:lineRule="auto"/>
        <w:jc w:val="center"/>
        <w:rPr>
          <w:rFonts w:ascii="仿宋" w:hAnsi="仿宋" w:eastAsia="仿宋"/>
          <w:sz w:val="32"/>
          <w:szCs w:val="32"/>
        </w:rPr>
      </w:pPr>
      <w:r>
        <w:rPr>
          <w:rFonts w:ascii="仿宋" w:hAnsi="仿宋" w:eastAsia="仿宋"/>
          <w:b/>
          <w:bCs/>
          <w:sz w:val="32"/>
          <w:szCs w:val="32"/>
        </w:rPr>
        <w:t>第一章</w:t>
      </w:r>
      <w:r>
        <w:rPr>
          <w:rFonts w:hint="eastAsia" w:ascii="仿宋" w:hAnsi="仿宋" w:eastAsia="仿宋"/>
          <w:b/>
          <w:bCs/>
          <w:sz w:val="32"/>
          <w:szCs w:val="32"/>
        </w:rPr>
        <w:t xml:space="preserve">   </w:t>
      </w:r>
      <w:r>
        <w:rPr>
          <w:rFonts w:ascii="仿宋" w:hAnsi="仿宋" w:eastAsia="仿宋"/>
          <w:b/>
          <w:bCs/>
          <w:sz w:val="32"/>
          <w:szCs w:val="32"/>
        </w:rPr>
        <w:t>竞争性磋商公告</w:t>
      </w:r>
    </w:p>
    <w:p w14:paraId="02167388">
      <w:pPr>
        <w:pStyle w:val="14"/>
        <w:spacing w:line="360" w:lineRule="auto"/>
        <w:rPr>
          <w:rFonts w:ascii="仿宋" w:hAnsi="仿宋" w:eastAsia="仿宋"/>
          <w:sz w:val="24"/>
          <w:szCs w:val="24"/>
        </w:rPr>
      </w:pPr>
      <w:r>
        <w:rPr>
          <w:rFonts w:ascii="仿宋" w:hAnsi="仿宋" w:eastAsia="仿宋"/>
          <w:sz w:val="24"/>
          <w:szCs w:val="24"/>
        </w:rPr>
        <w:t xml:space="preserve"> </w:t>
      </w:r>
    </w:p>
    <w:tbl>
      <w:tblPr>
        <w:tblStyle w:val="12"/>
        <w:tblW w:w="8522" w:type="dxa"/>
        <w:tblInd w:w="0" w:type="dxa"/>
        <w:tblLayout w:type="fixed"/>
        <w:tblCellMar>
          <w:top w:w="0" w:type="dxa"/>
          <w:left w:w="108" w:type="dxa"/>
          <w:bottom w:w="0" w:type="dxa"/>
          <w:right w:w="108" w:type="dxa"/>
        </w:tblCellMar>
      </w:tblPr>
      <w:tblGrid>
        <w:gridCol w:w="8522"/>
      </w:tblGrid>
      <w:tr w14:paraId="4EC0CBA3">
        <w:tblPrEx>
          <w:tblCellMar>
            <w:top w:w="0" w:type="dxa"/>
            <w:left w:w="108" w:type="dxa"/>
            <w:bottom w:w="0" w:type="dxa"/>
            <w:right w:w="108" w:type="dxa"/>
          </w:tblCellMar>
        </w:tblPrEx>
        <w:tc>
          <w:tcPr>
            <w:tcW w:w="8522" w:type="dxa"/>
          </w:tcPr>
          <w:p w14:paraId="3040A5C0">
            <w:pPr>
              <w:pStyle w:val="14"/>
              <w:spacing w:line="440" w:lineRule="exact"/>
              <w:rPr>
                <w:rFonts w:ascii="仿宋" w:hAnsi="仿宋" w:eastAsia="仿宋"/>
                <w:sz w:val="24"/>
                <w:szCs w:val="24"/>
              </w:rPr>
            </w:pPr>
            <w:r>
              <w:rPr>
                <w:rFonts w:ascii="仿宋" w:hAnsi="仿宋" w:eastAsia="仿宋"/>
                <w:kern w:val="0"/>
                <w:sz w:val="24"/>
                <w:szCs w:val="24"/>
              </w:rPr>
              <w:t>项目概况</w:t>
            </w:r>
          </w:p>
          <w:p w14:paraId="025D6ADB">
            <w:pPr>
              <w:pStyle w:val="14"/>
              <w:spacing w:line="440" w:lineRule="exact"/>
              <w:rPr>
                <w:rFonts w:ascii="仿宋" w:hAnsi="仿宋" w:eastAsia="仿宋"/>
                <w:b/>
                <w:bCs/>
                <w:sz w:val="24"/>
                <w:szCs w:val="24"/>
                <w:u w:val="single"/>
              </w:rPr>
            </w:pPr>
            <w:r>
              <w:rPr>
                <w:rFonts w:hint="eastAsia" w:ascii="仿宋" w:hAnsi="仿宋" w:eastAsia="仿宋"/>
                <w:b/>
                <w:bCs/>
                <w:kern w:val="0"/>
                <w:sz w:val="24"/>
                <w:szCs w:val="24"/>
                <w:u w:val="single"/>
              </w:rPr>
              <w:t>2024～2025年优抚对象短期疗养工作体检项目</w:t>
            </w:r>
            <w:r>
              <w:rPr>
                <w:rFonts w:hint="eastAsia" w:ascii="仿宋" w:hAnsi="仿宋" w:eastAsia="仿宋"/>
                <w:b/>
                <w:bCs/>
                <w:kern w:val="0"/>
                <w:sz w:val="24"/>
                <w:szCs w:val="24"/>
                <w:u w:val="single"/>
                <w:lang w:eastAsia="zh-CN"/>
              </w:rPr>
              <w:t>（第三次）</w:t>
            </w:r>
            <w:r>
              <w:rPr>
                <w:rFonts w:ascii="仿宋" w:hAnsi="仿宋" w:eastAsia="仿宋"/>
                <w:kern w:val="0"/>
                <w:sz w:val="24"/>
                <w:szCs w:val="24"/>
              </w:rPr>
              <w:t>的潜在供应商应</w:t>
            </w:r>
            <w:r>
              <w:rPr>
                <w:rFonts w:hint="eastAsia" w:ascii="仿宋" w:hAnsi="仿宋" w:eastAsia="仿宋"/>
                <w:kern w:val="0"/>
                <w:sz w:val="24"/>
                <w:szCs w:val="24"/>
                <w:u w:val="single"/>
              </w:rPr>
              <w:t>直接从南通市退役军人事务局</w:t>
            </w:r>
            <w:r>
              <w:rPr>
                <w:rFonts w:ascii="仿宋" w:hAnsi="仿宋" w:eastAsia="仿宋"/>
                <w:kern w:val="0"/>
                <w:sz w:val="24"/>
                <w:szCs w:val="24"/>
              </w:rPr>
              <w:t>自行下载磋商文件。并于</w:t>
            </w:r>
            <w:r>
              <w:rPr>
                <w:rFonts w:ascii="仿宋" w:hAnsi="仿宋" w:eastAsia="仿宋"/>
                <w:kern w:val="0"/>
                <w:sz w:val="24"/>
                <w:szCs w:val="24"/>
                <w:u w:val="single"/>
              </w:rPr>
              <w:t>20</w:t>
            </w:r>
            <w:r>
              <w:rPr>
                <w:rFonts w:hint="eastAsia" w:ascii="仿宋" w:hAnsi="仿宋" w:eastAsia="仿宋"/>
                <w:kern w:val="0"/>
                <w:sz w:val="24"/>
                <w:szCs w:val="24"/>
                <w:u w:val="single"/>
              </w:rPr>
              <w:t>24</w:t>
            </w:r>
            <w:r>
              <w:rPr>
                <w:rFonts w:ascii="仿宋" w:hAnsi="仿宋" w:eastAsia="仿宋"/>
                <w:kern w:val="0"/>
                <w:sz w:val="24"/>
                <w:szCs w:val="24"/>
                <w:u w:val="single"/>
              </w:rPr>
              <w:t>年</w:t>
            </w:r>
            <w:r>
              <w:rPr>
                <w:rFonts w:hint="eastAsia" w:ascii="仿宋" w:hAnsi="仿宋" w:eastAsia="仿宋"/>
                <w:kern w:val="0"/>
                <w:sz w:val="24"/>
                <w:szCs w:val="24"/>
                <w:u w:val="single"/>
              </w:rPr>
              <w:t>7月</w:t>
            </w:r>
            <w:r>
              <w:rPr>
                <w:rFonts w:hint="eastAsia" w:ascii="仿宋" w:hAnsi="仿宋" w:eastAsia="仿宋"/>
                <w:kern w:val="0"/>
                <w:sz w:val="24"/>
                <w:szCs w:val="24"/>
                <w:u w:val="single"/>
                <w:lang w:val="en-US" w:eastAsia="zh-CN"/>
              </w:rPr>
              <w:t>23</w:t>
            </w:r>
            <w:r>
              <w:rPr>
                <w:rFonts w:ascii="仿宋" w:hAnsi="仿宋" w:eastAsia="仿宋"/>
                <w:kern w:val="0"/>
                <w:sz w:val="24"/>
                <w:szCs w:val="24"/>
                <w:u w:val="single"/>
              </w:rPr>
              <w:t>日</w:t>
            </w:r>
            <w:r>
              <w:rPr>
                <w:rFonts w:hint="eastAsia" w:ascii="仿宋" w:hAnsi="仿宋" w:eastAsia="仿宋"/>
                <w:kern w:val="0"/>
                <w:sz w:val="24"/>
                <w:szCs w:val="24"/>
                <w:u w:val="single"/>
              </w:rPr>
              <w:t>14</w:t>
            </w:r>
            <w:r>
              <w:rPr>
                <w:rFonts w:ascii="仿宋" w:hAnsi="仿宋" w:eastAsia="仿宋"/>
                <w:kern w:val="0"/>
                <w:sz w:val="24"/>
                <w:szCs w:val="24"/>
                <w:u w:val="single"/>
              </w:rPr>
              <w:t>点30 分</w:t>
            </w:r>
            <w:r>
              <w:rPr>
                <w:rFonts w:ascii="仿宋" w:hAnsi="仿宋" w:eastAsia="仿宋"/>
                <w:kern w:val="0"/>
                <w:sz w:val="24"/>
                <w:szCs w:val="24"/>
              </w:rPr>
              <w:t>（北京时间）前提交响应文件。</w:t>
            </w:r>
          </w:p>
        </w:tc>
      </w:tr>
    </w:tbl>
    <w:p w14:paraId="0A9B6488">
      <w:pPr>
        <w:pStyle w:val="14"/>
        <w:spacing w:line="360" w:lineRule="auto"/>
        <w:ind w:firstLine="480" w:firstLineChars="200"/>
        <w:rPr>
          <w:rFonts w:ascii="仿宋" w:hAnsi="仿宋" w:eastAsia="仿宋"/>
          <w:sz w:val="24"/>
          <w:szCs w:val="24"/>
        </w:rPr>
      </w:pPr>
      <w:r>
        <w:rPr>
          <w:rFonts w:ascii="仿宋" w:hAnsi="仿宋" w:eastAsia="仿宋"/>
          <w:sz w:val="24"/>
          <w:szCs w:val="24"/>
        </w:rPr>
        <w:t>一、项目基本情况</w:t>
      </w:r>
    </w:p>
    <w:p w14:paraId="3DC45BA5">
      <w:pPr>
        <w:pStyle w:val="14"/>
        <w:spacing w:line="360" w:lineRule="auto"/>
        <w:ind w:firstLine="480" w:firstLineChars="200"/>
        <w:rPr>
          <w:rFonts w:ascii="仿宋" w:hAnsi="仿宋" w:eastAsia="仿宋"/>
          <w:sz w:val="24"/>
          <w:szCs w:val="24"/>
        </w:rPr>
      </w:pPr>
      <w:r>
        <w:rPr>
          <w:rFonts w:ascii="仿宋" w:hAnsi="仿宋" w:eastAsia="仿宋"/>
          <w:sz w:val="24"/>
          <w:szCs w:val="24"/>
        </w:rPr>
        <w:t>1、项目编号：</w:t>
      </w:r>
      <w:r>
        <w:rPr>
          <w:rFonts w:hint="eastAsia" w:ascii="仿宋" w:hAnsi="仿宋" w:eastAsia="仿宋"/>
          <w:sz w:val="24"/>
          <w:szCs w:val="24"/>
        </w:rPr>
        <w:t>/</w:t>
      </w:r>
    </w:p>
    <w:p w14:paraId="3D6D224E">
      <w:pPr>
        <w:pStyle w:val="14"/>
        <w:spacing w:line="360" w:lineRule="auto"/>
        <w:ind w:firstLine="480" w:firstLineChars="200"/>
        <w:rPr>
          <w:rFonts w:hint="eastAsia" w:ascii="仿宋" w:hAnsi="仿宋" w:eastAsia="仿宋"/>
          <w:b/>
          <w:bCs/>
          <w:sz w:val="24"/>
          <w:szCs w:val="24"/>
          <w:lang w:eastAsia="zh-CN"/>
        </w:rPr>
      </w:pPr>
      <w:r>
        <w:rPr>
          <w:rFonts w:ascii="仿宋" w:hAnsi="仿宋" w:eastAsia="仿宋"/>
          <w:sz w:val="24"/>
          <w:szCs w:val="24"/>
        </w:rPr>
        <w:t>2、项目名称：</w:t>
      </w:r>
      <w:r>
        <w:rPr>
          <w:rFonts w:hint="eastAsia" w:ascii="仿宋" w:hAnsi="仿宋" w:eastAsia="仿宋"/>
          <w:b/>
          <w:bCs/>
          <w:sz w:val="24"/>
          <w:szCs w:val="24"/>
        </w:rPr>
        <w:t>2024～2025年优抚对象短期疗养工作体检项目</w:t>
      </w:r>
      <w:r>
        <w:rPr>
          <w:rFonts w:hint="eastAsia" w:ascii="仿宋" w:hAnsi="仿宋" w:eastAsia="仿宋"/>
          <w:b/>
          <w:bCs/>
          <w:sz w:val="24"/>
          <w:szCs w:val="24"/>
          <w:lang w:eastAsia="zh-CN"/>
        </w:rPr>
        <w:t>（第三次）</w:t>
      </w:r>
    </w:p>
    <w:p w14:paraId="29170B66">
      <w:pPr>
        <w:pStyle w:val="14"/>
        <w:spacing w:line="360" w:lineRule="auto"/>
        <w:ind w:firstLine="480" w:firstLineChars="200"/>
        <w:rPr>
          <w:rFonts w:ascii="仿宋" w:hAnsi="仿宋" w:eastAsia="仿宋"/>
          <w:sz w:val="24"/>
          <w:szCs w:val="24"/>
        </w:rPr>
      </w:pPr>
      <w:r>
        <w:rPr>
          <w:rFonts w:ascii="仿宋" w:hAnsi="仿宋" w:eastAsia="仿宋"/>
          <w:sz w:val="24"/>
          <w:szCs w:val="24"/>
        </w:rPr>
        <w:t>3、采购方式：竞争性磋商</w:t>
      </w:r>
    </w:p>
    <w:p w14:paraId="5B134176">
      <w:pPr>
        <w:pStyle w:val="14"/>
        <w:spacing w:line="360" w:lineRule="auto"/>
        <w:ind w:firstLine="480" w:firstLineChars="200"/>
        <w:rPr>
          <w:rFonts w:ascii="仿宋" w:hAnsi="仿宋" w:eastAsia="仿宋"/>
          <w:sz w:val="24"/>
          <w:szCs w:val="24"/>
        </w:rPr>
      </w:pPr>
      <w:r>
        <w:rPr>
          <w:rFonts w:ascii="仿宋" w:hAnsi="仿宋" w:eastAsia="仿宋"/>
          <w:sz w:val="24"/>
          <w:szCs w:val="24"/>
        </w:rPr>
        <w:t>4、预算金额：</w:t>
      </w:r>
      <w:r>
        <w:rPr>
          <w:rFonts w:hint="eastAsia" w:ascii="仿宋" w:hAnsi="仿宋" w:eastAsia="仿宋"/>
          <w:sz w:val="24"/>
          <w:szCs w:val="24"/>
        </w:rPr>
        <w:t>495660元/年。</w:t>
      </w:r>
    </w:p>
    <w:p w14:paraId="268A25E0">
      <w:pPr>
        <w:pStyle w:val="14"/>
        <w:spacing w:line="360" w:lineRule="auto"/>
        <w:ind w:firstLine="480" w:firstLineChars="200"/>
        <w:rPr>
          <w:rFonts w:ascii="仿宋" w:hAnsi="仿宋" w:eastAsia="仿宋"/>
          <w:kern w:val="0"/>
          <w:sz w:val="23"/>
          <w:szCs w:val="23"/>
        </w:rPr>
      </w:pPr>
      <w:r>
        <w:rPr>
          <w:rFonts w:ascii="仿宋" w:hAnsi="仿宋" w:eastAsia="仿宋"/>
          <w:sz w:val="24"/>
          <w:szCs w:val="24"/>
        </w:rPr>
        <w:t>5、最高限价：</w:t>
      </w:r>
    </w:p>
    <w:tbl>
      <w:tblPr>
        <w:tblStyle w:val="12"/>
        <w:tblW w:w="5333" w:type="dxa"/>
        <w:jc w:val="center"/>
        <w:tblLayout w:type="fixed"/>
        <w:tblCellMar>
          <w:top w:w="0" w:type="dxa"/>
          <w:left w:w="108" w:type="dxa"/>
          <w:bottom w:w="0" w:type="dxa"/>
          <w:right w:w="108" w:type="dxa"/>
        </w:tblCellMar>
      </w:tblPr>
      <w:tblGrid>
        <w:gridCol w:w="1718"/>
        <w:gridCol w:w="1600"/>
        <w:gridCol w:w="2015"/>
      </w:tblGrid>
      <w:tr w14:paraId="73C3DBF5">
        <w:tblPrEx>
          <w:tblCellMar>
            <w:top w:w="0" w:type="dxa"/>
            <w:left w:w="108" w:type="dxa"/>
            <w:bottom w:w="0" w:type="dxa"/>
            <w:right w:w="108" w:type="dxa"/>
          </w:tblCellMar>
        </w:tblPrEx>
        <w:trPr>
          <w:trHeight w:val="628" w:hRule="atLeast"/>
          <w:jc w:val="center"/>
        </w:trPr>
        <w:tc>
          <w:tcPr>
            <w:tcW w:w="1718"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C53BA37">
            <w:pPr>
              <w:widowControl/>
              <w:jc w:val="center"/>
              <w:rPr>
                <w:rFonts w:ascii="仿宋" w:hAnsi="仿宋" w:eastAsia="仿宋" w:cs="宋体"/>
                <w:b/>
                <w:bCs/>
                <w:sz w:val="24"/>
                <w:szCs w:val="24"/>
              </w:rPr>
            </w:pPr>
            <w:r>
              <w:rPr>
                <w:rFonts w:hint="eastAsia" w:ascii="仿宋" w:hAnsi="仿宋" w:eastAsia="仿宋" w:cs="宋体"/>
                <w:b/>
                <w:bCs/>
                <w:sz w:val="24"/>
                <w:szCs w:val="24"/>
              </w:rPr>
              <w:t>内  容</w:t>
            </w:r>
          </w:p>
        </w:tc>
        <w:tc>
          <w:tcPr>
            <w:tcW w:w="1600" w:type="dxa"/>
            <w:tcBorders>
              <w:top w:val="single" w:color="000000" w:sz="4" w:space="0"/>
              <w:left w:val="nil"/>
              <w:bottom w:val="single" w:color="auto" w:sz="4" w:space="0"/>
              <w:right w:val="single" w:color="000000" w:sz="4" w:space="0"/>
            </w:tcBorders>
            <w:shd w:val="clear" w:color="auto" w:fill="auto"/>
            <w:noWrap/>
            <w:vAlign w:val="center"/>
          </w:tcPr>
          <w:p w14:paraId="256C5E4E">
            <w:pPr>
              <w:widowControl/>
              <w:jc w:val="center"/>
              <w:rPr>
                <w:rFonts w:ascii="仿宋" w:hAnsi="仿宋" w:eastAsia="仿宋" w:cs="宋体"/>
                <w:b/>
                <w:bCs/>
                <w:sz w:val="24"/>
                <w:szCs w:val="24"/>
              </w:rPr>
            </w:pPr>
            <w:r>
              <w:rPr>
                <w:rFonts w:hint="eastAsia" w:ascii="仿宋" w:hAnsi="仿宋" w:eastAsia="仿宋" w:cs="宋体"/>
                <w:b/>
                <w:bCs/>
                <w:sz w:val="24"/>
                <w:szCs w:val="24"/>
              </w:rPr>
              <w:t>暂定数量 （人次）</w:t>
            </w:r>
          </w:p>
        </w:tc>
        <w:tc>
          <w:tcPr>
            <w:tcW w:w="2015" w:type="dxa"/>
            <w:tcBorders>
              <w:top w:val="single" w:color="000000" w:sz="4" w:space="0"/>
              <w:left w:val="nil"/>
              <w:bottom w:val="single" w:color="auto" w:sz="4" w:space="0"/>
              <w:right w:val="single" w:color="000000" w:sz="4" w:space="0"/>
            </w:tcBorders>
            <w:shd w:val="clear" w:color="auto" w:fill="auto"/>
            <w:noWrap/>
            <w:vAlign w:val="center"/>
          </w:tcPr>
          <w:p w14:paraId="775D3DCA">
            <w:pPr>
              <w:widowControl/>
              <w:jc w:val="center"/>
              <w:rPr>
                <w:rFonts w:ascii="仿宋" w:hAnsi="仿宋" w:eastAsia="仿宋" w:cs="宋体"/>
                <w:b/>
                <w:bCs/>
                <w:sz w:val="24"/>
                <w:szCs w:val="24"/>
              </w:rPr>
            </w:pPr>
            <w:r>
              <w:rPr>
                <w:rFonts w:hint="eastAsia" w:ascii="仿宋" w:hAnsi="仿宋" w:eastAsia="仿宋" w:cs="宋体"/>
                <w:b/>
                <w:bCs/>
                <w:sz w:val="24"/>
                <w:szCs w:val="24"/>
              </w:rPr>
              <w:t>最高限价            （元/人次/年）</w:t>
            </w:r>
          </w:p>
        </w:tc>
      </w:tr>
      <w:tr w14:paraId="3E7B4F9D">
        <w:tblPrEx>
          <w:tblCellMar>
            <w:top w:w="0" w:type="dxa"/>
            <w:left w:w="108" w:type="dxa"/>
            <w:bottom w:w="0" w:type="dxa"/>
            <w:right w:w="108" w:type="dxa"/>
          </w:tblCellMar>
        </w:tblPrEx>
        <w:trPr>
          <w:trHeight w:val="700" w:hRule="atLeast"/>
          <w:jc w:val="center"/>
        </w:trPr>
        <w:tc>
          <w:tcPr>
            <w:tcW w:w="1718" w:type="dxa"/>
            <w:tcBorders>
              <w:top w:val="nil"/>
              <w:left w:val="single" w:color="auto" w:sz="4" w:space="0"/>
              <w:bottom w:val="single" w:color="auto" w:sz="4" w:space="0"/>
              <w:right w:val="single" w:color="auto" w:sz="4" w:space="0"/>
            </w:tcBorders>
            <w:shd w:val="clear" w:color="auto" w:fill="auto"/>
            <w:noWrap/>
            <w:vAlign w:val="center"/>
          </w:tcPr>
          <w:p w14:paraId="06026D74">
            <w:pPr>
              <w:widowControl/>
              <w:jc w:val="center"/>
              <w:rPr>
                <w:rFonts w:ascii="仿宋" w:hAnsi="仿宋" w:eastAsia="仿宋" w:cs="宋体"/>
                <w:b/>
                <w:bCs/>
                <w:sz w:val="24"/>
                <w:szCs w:val="24"/>
              </w:rPr>
            </w:pPr>
            <w:r>
              <w:rPr>
                <w:rFonts w:hint="eastAsia" w:ascii="仿宋" w:hAnsi="仿宋" w:eastAsia="仿宋" w:cs="宋体"/>
                <w:b/>
                <w:bCs/>
                <w:sz w:val="24"/>
                <w:szCs w:val="24"/>
              </w:rPr>
              <w:t>短期疗养工作体检项目</w:t>
            </w:r>
          </w:p>
        </w:tc>
        <w:tc>
          <w:tcPr>
            <w:tcW w:w="1600" w:type="dxa"/>
            <w:tcBorders>
              <w:top w:val="nil"/>
              <w:left w:val="nil"/>
              <w:bottom w:val="single" w:color="auto" w:sz="4" w:space="0"/>
              <w:right w:val="single" w:color="auto" w:sz="4" w:space="0"/>
            </w:tcBorders>
            <w:shd w:val="clear" w:color="auto" w:fill="auto"/>
            <w:noWrap/>
            <w:vAlign w:val="center"/>
          </w:tcPr>
          <w:p w14:paraId="1D8C8211">
            <w:pPr>
              <w:widowControl/>
              <w:jc w:val="center"/>
              <w:rPr>
                <w:rFonts w:ascii="仿宋" w:hAnsi="仿宋" w:eastAsia="仿宋" w:cs="宋体"/>
                <w:b/>
                <w:bCs/>
                <w:sz w:val="24"/>
                <w:szCs w:val="24"/>
              </w:rPr>
            </w:pPr>
            <w:r>
              <w:rPr>
                <w:rFonts w:hint="eastAsia" w:ascii="仿宋" w:hAnsi="仿宋" w:eastAsia="仿宋" w:cs="宋体"/>
                <w:b/>
                <w:bCs/>
                <w:sz w:val="24"/>
                <w:szCs w:val="24"/>
              </w:rPr>
              <w:t>751人/年</w:t>
            </w:r>
          </w:p>
        </w:tc>
        <w:tc>
          <w:tcPr>
            <w:tcW w:w="2015" w:type="dxa"/>
            <w:tcBorders>
              <w:top w:val="nil"/>
              <w:left w:val="nil"/>
              <w:bottom w:val="single" w:color="auto" w:sz="4" w:space="0"/>
              <w:right w:val="single" w:color="auto" w:sz="4" w:space="0"/>
            </w:tcBorders>
            <w:shd w:val="clear" w:color="auto" w:fill="auto"/>
            <w:noWrap/>
            <w:vAlign w:val="center"/>
          </w:tcPr>
          <w:p w14:paraId="1C9AF467">
            <w:pPr>
              <w:widowControl/>
              <w:jc w:val="center"/>
              <w:rPr>
                <w:rFonts w:ascii="仿宋" w:hAnsi="仿宋" w:eastAsia="仿宋" w:cs="宋体"/>
                <w:b/>
                <w:bCs/>
                <w:sz w:val="24"/>
                <w:szCs w:val="24"/>
              </w:rPr>
            </w:pPr>
            <w:r>
              <w:rPr>
                <w:rFonts w:hint="eastAsia" w:ascii="仿宋" w:hAnsi="仿宋" w:eastAsia="仿宋" w:cs="宋体"/>
                <w:b/>
                <w:bCs/>
                <w:sz w:val="24"/>
                <w:szCs w:val="24"/>
              </w:rPr>
              <w:t>660</w:t>
            </w:r>
          </w:p>
        </w:tc>
      </w:tr>
    </w:tbl>
    <w:p w14:paraId="6A21CB70">
      <w:pPr>
        <w:pStyle w:val="14"/>
        <w:spacing w:line="360" w:lineRule="auto"/>
        <w:ind w:firstLine="462" w:firstLineChars="200"/>
        <w:rPr>
          <w:rFonts w:ascii="仿宋" w:hAnsi="仿宋" w:eastAsia="仿宋"/>
          <w:kern w:val="0"/>
          <w:sz w:val="23"/>
          <w:szCs w:val="23"/>
        </w:rPr>
      </w:pPr>
      <w:r>
        <w:rPr>
          <w:rFonts w:hint="eastAsia" w:ascii="仿宋" w:hAnsi="仿宋" w:eastAsia="仿宋" w:cs="宋体"/>
          <w:b/>
          <w:kern w:val="0"/>
          <w:sz w:val="23"/>
          <w:szCs w:val="23"/>
        </w:rPr>
        <w:t>以上投标报价（元/人次）不得高于采购人设定的最高限价，否则经评标委员会核实报价标后不予得分并按照无效响应处理。表格中的人次为暂估人次，每年最终结算方式：成交金额/人次*实际数量。</w:t>
      </w:r>
    </w:p>
    <w:p w14:paraId="1AA8708A">
      <w:pPr>
        <w:pStyle w:val="14"/>
        <w:spacing w:line="360" w:lineRule="auto"/>
        <w:ind w:firstLine="460" w:firstLineChars="200"/>
        <w:rPr>
          <w:rFonts w:ascii="仿宋" w:hAnsi="仿宋" w:eastAsia="仿宋"/>
          <w:kern w:val="0"/>
          <w:sz w:val="23"/>
          <w:szCs w:val="23"/>
        </w:rPr>
      </w:pPr>
      <w:r>
        <w:rPr>
          <w:rFonts w:ascii="仿宋" w:hAnsi="仿宋" w:eastAsia="仿宋"/>
          <w:kern w:val="0"/>
          <w:sz w:val="23"/>
          <w:szCs w:val="23"/>
        </w:rPr>
        <w:t>6、标段划分：一个标段</w:t>
      </w:r>
    </w:p>
    <w:p w14:paraId="5D22104A">
      <w:pPr>
        <w:pStyle w:val="14"/>
        <w:spacing w:line="360" w:lineRule="auto"/>
        <w:ind w:firstLine="480" w:firstLineChars="200"/>
        <w:rPr>
          <w:rFonts w:ascii="仿宋" w:hAnsi="仿宋" w:eastAsia="仿宋"/>
          <w:sz w:val="24"/>
          <w:szCs w:val="24"/>
        </w:rPr>
      </w:pPr>
      <w:r>
        <w:rPr>
          <w:rFonts w:ascii="仿宋" w:hAnsi="仿宋" w:eastAsia="仿宋"/>
          <w:sz w:val="24"/>
          <w:szCs w:val="24"/>
        </w:rPr>
        <w:t>7、采购需求：</w:t>
      </w:r>
    </w:p>
    <w:tbl>
      <w:tblPr>
        <w:tblStyle w:val="12"/>
        <w:tblW w:w="8079" w:type="dxa"/>
        <w:tblInd w:w="534" w:type="dxa"/>
        <w:tblLayout w:type="fixed"/>
        <w:tblCellMar>
          <w:top w:w="0" w:type="dxa"/>
          <w:left w:w="108" w:type="dxa"/>
          <w:bottom w:w="0" w:type="dxa"/>
          <w:right w:w="108" w:type="dxa"/>
        </w:tblCellMar>
      </w:tblPr>
      <w:tblGrid>
        <w:gridCol w:w="1701"/>
        <w:gridCol w:w="1984"/>
        <w:gridCol w:w="2268"/>
        <w:gridCol w:w="2126"/>
      </w:tblGrid>
      <w:tr w14:paraId="526FEE3A">
        <w:tblPrEx>
          <w:tblCellMar>
            <w:top w:w="0" w:type="dxa"/>
            <w:left w:w="108" w:type="dxa"/>
            <w:bottom w:w="0" w:type="dxa"/>
            <w:right w:w="108" w:type="dxa"/>
          </w:tblCellMar>
        </w:tblPrEx>
        <w:trPr>
          <w:trHeight w:val="550" w:hRule="atLeast"/>
        </w:trPr>
        <w:tc>
          <w:tcPr>
            <w:tcW w:w="1701" w:type="dxa"/>
            <w:tcBorders>
              <w:top w:val="single" w:color="000000" w:sz="4" w:space="0"/>
              <w:left w:val="single" w:color="auto" w:sz="4" w:space="0"/>
              <w:bottom w:val="single" w:color="auto" w:sz="4" w:space="0"/>
              <w:right w:val="single" w:color="000000" w:sz="4" w:space="0"/>
            </w:tcBorders>
            <w:shd w:val="clear" w:color="auto" w:fill="auto"/>
            <w:vAlign w:val="center"/>
          </w:tcPr>
          <w:p w14:paraId="23FCBC07">
            <w:pPr>
              <w:widowControl/>
              <w:jc w:val="center"/>
              <w:rPr>
                <w:rFonts w:ascii="仿宋" w:hAnsi="仿宋" w:eastAsia="仿宋" w:cs="宋体"/>
                <w:b/>
                <w:bCs/>
                <w:sz w:val="28"/>
                <w:szCs w:val="28"/>
              </w:rPr>
            </w:pPr>
            <w:r>
              <w:rPr>
                <w:rFonts w:hint="eastAsia" w:ascii="仿宋" w:hAnsi="仿宋" w:eastAsia="仿宋" w:cs="宋体"/>
                <w:b/>
                <w:bCs/>
                <w:sz w:val="28"/>
                <w:szCs w:val="28"/>
              </w:rPr>
              <w:t>内容</w:t>
            </w:r>
          </w:p>
        </w:tc>
        <w:tc>
          <w:tcPr>
            <w:tcW w:w="1984" w:type="dxa"/>
            <w:tcBorders>
              <w:top w:val="single" w:color="000000" w:sz="4" w:space="0"/>
              <w:left w:val="nil"/>
              <w:bottom w:val="single" w:color="auto" w:sz="4" w:space="0"/>
              <w:right w:val="single" w:color="000000" w:sz="4" w:space="0"/>
            </w:tcBorders>
            <w:shd w:val="clear" w:color="auto" w:fill="auto"/>
            <w:vAlign w:val="center"/>
          </w:tcPr>
          <w:p w14:paraId="6F1BBCF6">
            <w:pPr>
              <w:widowControl/>
              <w:jc w:val="center"/>
              <w:rPr>
                <w:rFonts w:ascii="仿宋" w:hAnsi="仿宋" w:eastAsia="仿宋" w:cs="宋体"/>
                <w:b/>
                <w:bCs/>
                <w:sz w:val="28"/>
                <w:szCs w:val="28"/>
              </w:rPr>
            </w:pPr>
            <w:r>
              <w:rPr>
                <w:rFonts w:hint="eastAsia" w:ascii="仿宋" w:hAnsi="仿宋" w:eastAsia="仿宋" w:cs="宋体"/>
                <w:b/>
                <w:bCs/>
                <w:sz w:val="28"/>
                <w:szCs w:val="28"/>
              </w:rPr>
              <w:t>采购范围</w:t>
            </w:r>
          </w:p>
        </w:tc>
        <w:tc>
          <w:tcPr>
            <w:tcW w:w="2268" w:type="dxa"/>
            <w:tcBorders>
              <w:top w:val="single" w:color="000000" w:sz="4" w:space="0"/>
              <w:left w:val="nil"/>
              <w:bottom w:val="single" w:color="auto" w:sz="4" w:space="0"/>
              <w:right w:val="single" w:color="000000" w:sz="4" w:space="0"/>
            </w:tcBorders>
            <w:shd w:val="clear" w:color="auto" w:fill="auto"/>
            <w:vAlign w:val="center"/>
          </w:tcPr>
          <w:p w14:paraId="144544C2">
            <w:pPr>
              <w:widowControl/>
              <w:jc w:val="center"/>
              <w:rPr>
                <w:rFonts w:ascii="仿宋" w:hAnsi="仿宋" w:eastAsia="仿宋" w:cs="宋体"/>
                <w:b/>
                <w:bCs/>
                <w:sz w:val="28"/>
                <w:szCs w:val="28"/>
              </w:rPr>
            </w:pPr>
            <w:r>
              <w:rPr>
                <w:rFonts w:ascii="仿宋" w:hAnsi="仿宋" w:eastAsia="仿宋" w:cs="宋体"/>
                <w:b/>
                <w:bCs/>
                <w:sz w:val="28"/>
                <w:szCs w:val="28"/>
              </w:rPr>
              <w:t>项目地点</w:t>
            </w:r>
          </w:p>
        </w:tc>
        <w:tc>
          <w:tcPr>
            <w:tcW w:w="2126" w:type="dxa"/>
            <w:tcBorders>
              <w:top w:val="single" w:color="000000" w:sz="4" w:space="0"/>
              <w:left w:val="nil"/>
              <w:bottom w:val="single" w:color="auto" w:sz="4" w:space="0"/>
              <w:right w:val="single" w:color="000000" w:sz="4" w:space="0"/>
            </w:tcBorders>
          </w:tcPr>
          <w:p w14:paraId="6BAD414A">
            <w:pPr>
              <w:widowControl/>
              <w:jc w:val="center"/>
              <w:rPr>
                <w:rFonts w:ascii="仿宋" w:hAnsi="仿宋" w:eastAsia="仿宋" w:cs="宋体"/>
                <w:b/>
                <w:bCs/>
                <w:sz w:val="28"/>
                <w:szCs w:val="28"/>
              </w:rPr>
            </w:pPr>
            <w:r>
              <w:rPr>
                <w:rFonts w:hint="eastAsia" w:ascii="仿宋" w:hAnsi="仿宋" w:eastAsia="仿宋" w:cs="宋体"/>
                <w:b/>
                <w:bCs/>
                <w:sz w:val="28"/>
                <w:szCs w:val="28"/>
              </w:rPr>
              <w:t>项目实施时间</w:t>
            </w:r>
          </w:p>
        </w:tc>
      </w:tr>
      <w:tr w14:paraId="6D872994">
        <w:tblPrEx>
          <w:tblCellMar>
            <w:top w:w="0" w:type="dxa"/>
            <w:left w:w="108" w:type="dxa"/>
            <w:bottom w:w="0" w:type="dxa"/>
            <w:right w:w="108" w:type="dxa"/>
          </w:tblCellMar>
        </w:tblPrEx>
        <w:trPr>
          <w:trHeight w:val="74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159E8686">
            <w:pPr>
              <w:widowControl/>
              <w:jc w:val="center"/>
              <w:rPr>
                <w:rFonts w:ascii="仿宋" w:hAnsi="仿宋" w:eastAsia="仿宋" w:cs="宋体"/>
                <w:sz w:val="24"/>
                <w:szCs w:val="24"/>
              </w:rPr>
            </w:pPr>
            <w:r>
              <w:rPr>
                <w:rFonts w:hint="eastAsia" w:ascii="仿宋" w:hAnsi="仿宋" w:eastAsia="仿宋" w:cs="宋体"/>
                <w:b/>
                <w:bCs/>
                <w:sz w:val="24"/>
                <w:szCs w:val="24"/>
              </w:rPr>
              <w:t>短期疗养工作体检项目</w:t>
            </w:r>
          </w:p>
        </w:tc>
        <w:tc>
          <w:tcPr>
            <w:tcW w:w="1984" w:type="dxa"/>
            <w:tcBorders>
              <w:top w:val="nil"/>
              <w:left w:val="nil"/>
              <w:bottom w:val="single" w:color="auto" w:sz="4" w:space="0"/>
              <w:right w:val="single" w:color="auto" w:sz="4" w:space="0"/>
            </w:tcBorders>
            <w:shd w:val="clear" w:color="auto" w:fill="auto"/>
            <w:vAlign w:val="center"/>
          </w:tcPr>
          <w:p w14:paraId="3FED3590">
            <w:pPr>
              <w:widowControl/>
              <w:jc w:val="center"/>
              <w:rPr>
                <w:rFonts w:ascii="仿宋" w:hAnsi="仿宋" w:eastAsia="仿宋" w:cs="宋体"/>
                <w:sz w:val="24"/>
                <w:szCs w:val="24"/>
              </w:rPr>
            </w:pPr>
            <w:r>
              <w:rPr>
                <w:rFonts w:hint="eastAsia" w:ascii="仿宋" w:hAnsi="仿宋" w:eastAsia="仿宋" w:cs="宋体"/>
                <w:sz w:val="23"/>
                <w:szCs w:val="23"/>
              </w:rPr>
              <w:t>详见本项目需求</w:t>
            </w:r>
          </w:p>
        </w:tc>
        <w:tc>
          <w:tcPr>
            <w:tcW w:w="4394" w:type="dxa"/>
            <w:gridSpan w:val="2"/>
            <w:tcBorders>
              <w:top w:val="nil"/>
              <w:left w:val="nil"/>
              <w:bottom w:val="single" w:color="auto" w:sz="4" w:space="0"/>
              <w:right w:val="single" w:color="auto" w:sz="4" w:space="0"/>
            </w:tcBorders>
            <w:shd w:val="clear" w:color="auto" w:fill="auto"/>
            <w:vAlign w:val="center"/>
          </w:tcPr>
          <w:p w14:paraId="581A5FB5">
            <w:pPr>
              <w:widowControl/>
              <w:ind w:firstLine="1150" w:firstLineChars="500"/>
              <w:jc w:val="left"/>
              <w:rPr>
                <w:rFonts w:ascii="仿宋" w:hAnsi="仿宋" w:eastAsia="仿宋" w:cs="宋体"/>
                <w:sz w:val="24"/>
                <w:szCs w:val="24"/>
              </w:rPr>
            </w:pPr>
            <w:r>
              <w:rPr>
                <w:rFonts w:hint="eastAsia" w:ascii="仿宋" w:hAnsi="仿宋" w:eastAsia="仿宋" w:cs="宋体"/>
                <w:sz w:val="23"/>
                <w:szCs w:val="23"/>
              </w:rPr>
              <w:t xml:space="preserve">以采购人通知为准  </w:t>
            </w:r>
          </w:p>
        </w:tc>
      </w:tr>
    </w:tbl>
    <w:p w14:paraId="296B0EAC">
      <w:pPr>
        <w:pStyle w:val="14"/>
        <w:spacing w:line="360" w:lineRule="auto"/>
        <w:ind w:firstLine="480" w:firstLineChars="200"/>
        <w:rPr>
          <w:rFonts w:ascii="仿宋" w:hAnsi="仿宋" w:eastAsia="仿宋" w:cstheme="minorEastAsia"/>
          <w:sz w:val="24"/>
          <w:szCs w:val="24"/>
        </w:rPr>
      </w:pPr>
      <w:r>
        <w:rPr>
          <w:rFonts w:ascii="仿宋" w:hAnsi="仿宋" w:eastAsia="仿宋"/>
          <w:sz w:val="24"/>
          <w:szCs w:val="24"/>
        </w:rPr>
        <w:t>8、合同履行期限：</w:t>
      </w:r>
      <w:r>
        <w:rPr>
          <w:rFonts w:hint="eastAsia" w:ascii="仿宋" w:hAnsi="仿宋" w:eastAsia="仿宋"/>
          <w:sz w:val="24"/>
          <w:szCs w:val="24"/>
        </w:rPr>
        <w:t>自合同签订之日起</w:t>
      </w:r>
      <w:r>
        <w:rPr>
          <w:rFonts w:hint="eastAsia" w:ascii="仿宋" w:hAnsi="仿宋" w:eastAsia="仿宋" w:cstheme="minorEastAsia"/>
          <w:sz w:val="24"/>
          <w:szCs w:val="24"/>
        </w:rPr>
        <w:t>贰年。</w:t>
      </w:r>
    </w:p>
    <w:p w14:paraId="00FA3702">
      <w:pPr>
        <w:pStyle w:val="14"/>
        <w:spacing w:line="360" w:lineRule="auto"/>
        <w:ind w:firstLine="480" w:firstLineChars="200"/>
        <w:rPr>
          <w:rFonts w:ascii="仿宋" w:hAnsi="仿宋" w:eastAsia="仿宋"/>
          <w:sz w:val="24"/>
          <w:szCs w:val="24"/>
        </w:rPr>
      </w:pPr>
      <w:r>
        <w:rPr>
          <w:rFonts w:ascii="仿宋" w:hAnsi="仿宋" w:eastAsia="仿宋"/>
          <w:sz w:val="24"/>
          <w:szCs w:val="24"/>
        </w:rPr>
        <w:t>9、本项目（</w:t>
      </w:r>
      <w:r>
        <w:rPr>
          <w:rFonts w:ascii="仿宋" w:hAnsi="仿宋" w:eastAsia="仿宋"/>
          <w:i/>
          <w:iCs/>
          <w:sz w:val="24"/>
          <w:szCs w:val="24"/>
        </w:rPr>
        <w:t>是/否</w:t>
      </w:r>
      <w:r>
        <w:rPr>
          <w:rFonts w:ascii="仿宋" w:hAnsi="仿宋" w:eastAsia="仿宋"/>
          <w:sz w:val="24"/>
          <w:szCs w:val="24"/>
        </w:rPr>
        <w:t>）接受联合体</w:t>
      </w:r>
      <w:r>
        <w:rPr>
          <w:rFonts w:ascii="仿宋" w:hAnsi="仿宋" w:eastAsia="仿宋"/>
          <w:sz w:val="24"/>
          <w:szCs w:val="24"/>
          <w:u w:val="single"/>
        </w:rPr>
        <w:t xml:space="preserve"> 否 </w:t>
      </w:r>
    </w:p>
    <w:p w14:paraId="57D49620">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二、申请人的资格要求：</w:t>
      </w:r>
    </w:p>
    <w:p w14:paraId="734246C6">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（一）符合</w:t>
      </w:r>
      <w:r>
        <w:rPr>
          <w:rFonts w:hint="eastAsia" w:ascii="仿宋" w:hAnsi="仿宋" w:eastAsia="仿宋"/>
          <w:b/>
          <w:bCs/>
          <w:sz w:val="24"/>
          <w:szCs w:val="24"/>
        </w:rPr>
        <w:t>下列</w:t>
      </w:r>
      <w:r>
        <w:rPr>
          <w:rFonts w:ascii="仿宋" w:hAnsi="仿宋" w:eastAsia="仿宋"/>
          <w:b/>
          <w:bCs/>
          <w:sz w:val="24"/>
          <w:szCs w:val="24"/>
        </w:rPr>
        <w:t>规定的条件，</w:t>
      </w:r>
      <w:r>
        <w:rPr>
          <w:rFonts w:hint="eastAsia" w:ascii="仿宋" w:hAnsi="仿宋" w:eastAsia="仿宋"/>
          <w:b/>
          <w:bCs/>
          <w:sz w:val="24"/>
          <w:szCs w:val="24"/>
        </w:rPr>
        <w:t>提供声明函：</w:t>
      </w:r>
    </w:p>
    <w:p w14:paraId="740E1C73">
      <w:pPr>
        <w:pStyle w:val="14"/>
        <w:spacing w:line="360" w:lineRule="auto"/>
        <w:ind w:firstLine="480" w:firstLineChars="200"/>
        <w:rPr>
          <w:rFonts w:ascii="仿宋" w:hAnsi="仿宋" w:eastAsia="仿宋"/>
          <w:sz w:val="24"/>
          <w:szCs w:val="24"/>
        </w:rPr>
      </w:pPr>
      <w:r>
        <w:rPr>
          <w:rFonts w:ascii="仿宋" w:hAnsi="仿宋" w:eastAsia="仿宋"/>
          <w:sz w:val="24"/>
          <w:szCs w:val="24"/>
        </w:rPr>
        <w:t>1、具有独立承担民事责任的能力；</w:t>
      </w:r>
    </w:p>
    <w:p w14:paraId="0A73ACF4">
      <w:pPr>
        <w:pStyle w:val="14"/>
        <w:spacing w:line="360" w:lineRule="auto"/>
        <w:ind w:firstLine="480" w:firstLineChars="200"/>
        <w:rPr>
          <w:rFonts w:ascii="仿宋" w:hAnsi="仿宋" w:eastAsia="仿宋"/>
          <w:sz w:val="24"/>
          <w:szCs w:val="24"/>
        </w:rPr>
      </w:pPr>
      <w:r>
        <w:rPr>
          <w:rFonts w:ascii="仿宋" w:hAnsi="仿宋" w:eastAsia="仿宋"/>
          <w:sz w:val="24"/>
          <w:szCs w:val="24"/>
        </w:rPr>
        <w:t>2、具有良好的商业信誉和健全的财务会计制度；</w:t>
      </w:r>
    </w:p>
    <w:p w14:paraId="35C13AF8">
      <w:pPr>
        <w:pStyle w:val="14"/>
        <w:spacing w:line="360" w:lineRule="auto"/>
        <w:ind w:firstLine="480" w:firstLineChars="200"/>
        <w:rPr>
          <w:rFonts w:ascii="仿宋" w:hAnsi="仿宋" w:eastAsia="仿宋"/>
          <w:sz w:val="24"/>
          <w:szCs w:val="24"/>
        </w:rPr>
      </w:pPr>
      <w:r>
        <w:rPr>
          <w:rFonts w:ascii="仿宋" w:hAnsi="仿宋" w:eastAsia="仿宋"/>
          <w:sz w:val="24"/>
          <w:szCs w:val="24"/>
        </w:rPr>
        <w:t>3、具有履行合同所必须的设备和专业技术能力；</w:t>
      </w:r>
    </w:p>
    <w:p w14:paraId="70EBABB2">
      <w:pPr>
        <w:pStyle w:val="14"/>
        <w:spacing w:line="360" w:lineRule="auto"/>
        <w:ind w:firstLine="480" w:firstLineChars="200"/>
        <w:rPr>
          <w:rFonts w:ascii="仿宋" w:hAnsi="仿宋" w:eastAsia="仿宋"/>
          <w:sz w:val="24"/>
          <w:szCs w:val="24"/>
        </w:rPr>
      </w:pPr>
      <w:r>
        <w:rPr>
          <w:rFonts w:ascii="仿宋" w:hAnsi="仿宋" w:eastAsia="仿宋"/>
          <w:sz w:val="24"/>
          <w:szCs w:val="24"/>
        </w:rPr>
        <w:t>4、有依法缴纳税收和社会保障资金的良好记录；</w:t>
      </w:r>
    </w:p>
    <w:p w14:paraId="6F4B503C">
      <w:pPr>
        <w:pStyle w:val="14"/>
        <w:spacing w:line="360" w:lineRule="auto"/>
        <w:ind w:firstLine="480" w:firstLineChars="200"/>
        <w:rPr>
          <w:rFonts w:ascii="仿宋" w:hAnsi="仿宋" w:eastAsia="仿宋"/>
          <w:sz w:val="24"/>
          <w:szCs w:val="24"/>
        </w:rPr>
      </w:pPr>
      <w:r>
        <w:rPr>
          <w:rFonts w:ascii="仿宋" w:hAnsi="仿宋" w:eastAsia="仿宋"/>
          <w:sz w:val="24"/>
          <w:szCs w:val="24"/>
        </w:rPr>
        <w:t>5、参加采购活动</w:t>
      </w:r>
      <w:r>
        <w:rPr>
          <w:rFonts w:hint="eastAsia" w:ascii="仿宋" w:hAnsi="仿宋" w:eastAsia="仿宋"/>
          <w:sz w:val="24"/>
          <w:szCs w:val="24"/>
        </w:rPr>
        <w:t>前</w:t>
      </w:r>
      <w:r>
        <w:rPr>
          <w:rFonts w:ascii="仿宋" w:hAnsi="仿宋" w:eastAsia="仿宋"/>
          <w:sz w:val="24"/>
          <w:szCs w:val="24"/>
        </w:rPr>
        <w:t>三年内，在经营活动中没有重大违法记录。</w:t>
      </w:r>
    </w:p>
    <w:p w14:paraId="6865D663">
      <w:pPr>
        <w:pStyle w:val="14"/>
        <w:spacing w:line="360" w:lineRule="auto"/>
        <w:ind w:firstLine="480" w:firstLineChars="200"/>
        <w:rPr>
          <w:rFonts w:ascii="仿宋" w:hAnsi="仿宋" w:eastAsia="仿宋"/>
          <w:sz w:val="24"/>
          <w:szCs w:val="24"/>
        </w:rPr>
      </w:pPr>
      <w:r>
        <w:rPr>
          <w:rFonts w:hint="eastAsia" w:ascii="仿宋" w:hAnsi="仿宋" w:eastAsia="仿宋"/>
          <w:sz w:val="24"/>
          <w:szCs w:val="24"/>
        </w:rPr>
        <w:t>6、法律、行政法规规定的其他条件。</w:t>
      </w:r>
    </w:p>
    <w:p w14:paraId="325DD4DA">
      <w:pPr>
        <w:pStyle w:val="14"/>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本项目的特定资格要求：</w:t>
      </w:r>
    </w:p>
    <w:p w14:paraId="6A6540A6">
      <w:pPr>
        <w:pStyle w:val="14"/>
        <w:spacing w:line="360" w:lineRule="auto"/>
        <w:ind w:firstLine="480" w:firstLineChars="200"/>
        <w:rPr>
          <w:rFonts w:ascii="仿宋" w:hAnsi="仿宋" w:eastAsia="仿宋"/>
          <w:b/>
          <w:bCs/>
          <w:sz w:val="24"/>
          <w:szCs w:val="24"/>
        </w:rPr>
      </w:pPr>
      <w:r>
        <w:rPr>
          <w:rFonts w:hint="eastAsia" w:ascii="仿宋" w:hAnsi="仿宋" w:eastAsia="仿宋"/>
          <w:bCs/>
          <w:sz w:val="24"/>
          <w:szCs w:val="24"/>
        </w:rPr>
        <w:t>（1）</w:t>
      </w:r>
      <w:r>
        <w:rPr>
          <w:rFonts w:hint="eastAsia" w:ascii="仿宋" w:hAnsi="仿宋" w:eastAsia="仿宋" w:cs="宋体"/>
          <w:sz w:val="24"/>
          <w:szCs w:val="24"/>
        </w:rPr>
        <w:t>响应供应商为三级（或参照三级管理）及以上</w:t>
      </w:r>
      <w:r>
        <w:rPr>
          <w:rFonts w:hint="eastAsia" w:ascii="仿宋" w:hAnsi="仿宋" w:eastAsia="仿宋" w:cs="仿宋"/>
          <w:sz w:val="24"/>
          <w:szCs w:val="24"/>
        </w:rPr>
        <w:t>的</w:t>
      </w:r>
      <w:r>
        <w:rPr>
          <w:rFonts w:hint="eastAsia" w:ascii="仿宋" w:hAnsi="仿宋" w:eastAsia="仿宋" w:cs="宋体"/>
          <w:sz w:val="24"/>
          <w:szCs w:val="24"/>
        </w:rPr>
        <w:t>医疗机构（提供医疗机构执业许可证（副本）及相关证明文件）。</w:t>
      </w:r>
    </w:p>
    <w:p w14:paraId="2B3BEB1F">
      <w:pPr>
        <w:pStyle w:val="14"/>
        <w:spacing w:line="360" w:lineRule="auto"/>
        <w:ind w:firstLine="480" w:firstLineChars="200"/>
        <w:rPr>
          <w:rFonts w:ascii="仿宋" w:hAnsi="仿宋" w:eastAsia="仿宋"/>
          <w:kern w:val="0"/>
          <w:sz w:val="24"/>
          <w:szCs w:val="24"/>
        </w:rPr>
      </w:pPr>
      <w:r>
        <w:rPr>
          <w:rFonts w:hint="eastAsia" w:ascii="仿宋" w:hAnsi="仿宋" w:eastAsia="仿宋"/>
          <w:sz w:val="24"/>
          <w:szCs w:val="24"/>
        </w:rPr>
        <w:t>（2）</w:t>
      </w:r>
      <w:r>
        <w:rPr>
          <w:rFonts w:ascii="仿宋" w:hAnsi="仿宋" w:eastAsia="仿宋"/>
          <w:kern w:val="0"/>
          <w:sz w:val="24"/>
          <w:szCs w:val="24"/>
        </w:rPr>
        <w:t>法定代表人参加</w:t>
      </w:r>
      <w:r>
        <w:rPr>
          <w:rFonts w:hint="eastAsia" w:ascii="仿宋" w:hAnsi="仿宋" w:eastAsia="仿宋"/>
          <w:kern w:val="0"/>
          <w:sz w:val="24"/>
          <w:szCs w:val="24"/>
        </w:rPr>
        <w:t>磋商</w:t>
      </w:r>
      <w:r>
        <w:rPr>
          <w:rFonts w:ascii="仿宋" w:hAnsi="仿宋" w:eastAsia="仿宋"/>
          <w:kern w:val="0"/>
          <w:sz w:val="24"/>
          <w:szCs w:val="24"/>
        </w:rPr>
        <w:t>的，必须提供法人身份证明原件及本人身份证</w:t>
      </w:r>
      <w:r>
        <w:rPr>
          <w:rFonts w:hint="eastAsia" w:ascii="仿宋" w:hAnsi="仿宋" w:eastAsia="仿宋"/>
          <w:kern w:val="0"/>
          <w:sz w:val="24"/>
          <w:szCs w:val="24"/>
        </w:rPr>
        <w:t>复印</w:t>
      </w:r>
      <w:r>
        <w:rPr>
          <w:rFonts w:ascii="仿宋" w:hAnsi="仿宋" w:eastAsia="仿宋"/>
          <w:kern w:val="0"/>
          <w:sz w:val="24"/>
          <w:szCs w:val="24"/>
        </w:rPr>
        <w:t>件；非法定代表人参加</w:t>
      </w:r>
      <w:r>
        <w:rPr>
          <w:rFonts w:hint="eastAsia" w:ascii="仿宋" w:hAnsi="仿宋" w:eastAsia="仿宋"/>
          <w:kern w:val="0"/>
          <w:sz w:val="24"/>
          <w:szCs w:val="24"/>
        </w:rPr>
        <w:t>磋商</w:t>
      </w:r>
      <w:r>
        <w:rPr>
          <w:rFonts w:ascii="仿宋" w:hAnsi="仿宋" w:eastAsia="仿宋"/>
          <w:kern w:val="0"/>
          <w:sz w:val="24"/>
          <w:szCs w:val="24"/>
        </w:rPr>
        <w:t>的，必须提供法定代表人签名或盖章的授权委托书原件及被委托授权人</w:t>
      </w:r>
      <w:r>
        <w:rPr>
          <w:rFonts w:ascii="仿宋" w:hAnsi="仿宋" w:eastAsia="仿宋"/>
          <w:sz w:val="24"/>
          <w:szCs w:val="24"/>
        </w:rPr>
        <w:t>身份证</w:t>
      </w:r>
      <w:r>
        <w:rPr>
          <w:rFonts w:hint="eastAsia" w:ascii="仿宋" w:hAnsi="仿宋" w:eastAsia="仿宋"/>
          <w:kern w:val="0"/>
          <w:sz w:val="24"/>
          <w:szCs w:val="24"/>
        </w:rPr>
        <w:t>复印件和</w:t>
      </w:r>
      <w:r>
        <w:rPr>
          <w:rFonts w:hint="eastAsia" w:ascii="仿宋" w:hAnsi="仿宋" w:eastAsia="仿宋"/>
          <w:sz w:val="24"/>
          <w:szCs w:val="24"/>
        </w:rPr>
        <w:t>法定代表人的身份证复印件</w:t>
      </w:r>
      <w:r>
        <w:rPr>
          <w:rFonts w:ascii="仿宋" w:hAnsi="仿宋" w:eastAsia="仿宋"/>
          <w:kern w:val="0"/>
          <w:sz w:val="24"/>
          <w:szCs w:val="24"/>
        </w:rPr>
        <w:t xml:space="preserve">； </w:t>
      </w:r>
    </w:p>
    <w:p w14:paraId="3B3FFCCC">
      <w:pPr>
        <w:pStyle w:val="14"/>
        <w:spacing w:line="360" w:lineRule="auto"/>
        <w:ind w:firstLine="480" w:firstLineChars="200"/>
        <w:rPr>
          <w:rFonts w:ascii="仿宋" w:hAnsi="仿宋" w:eastAsia="仿宋"/>
          <w:sz w:val="24"/>
          <w:szCs w:val="24"/>
        </w:rPr>
      </w:pPr>
      <w:r>
        <w:rPr>
          <w:rFonts w:hint="eastAsia" w:ascii="仿宋" w:hAnsi="仿宋" w:eastAsia="仿宋"/>
          <w:sz w:val="24"/>
          <w:szCs w:val="24"/>
        </w:rPr>
        <w:t>（3）供应商响应文件函（格式按第七章）。</w:t>
      </w:r>
    </w:p>
    <w:p w14:paraId="681293BC">
      <w:pPr>
        <w:pStyle w:val="14"/>
        <w:spacing w:line="360" w:lineRule="auto"/>
        <w:ind w:firstLine="480" w:firstLineChars="200"/>
        <w:rPr>
          <w:rFonts w:ascii="仿宋" w:hAnsi="仿宋" w:eastAsia="仿宋"/>
          <w:sz w:val="24"/>
          <w:szCs w:val="24"/>
        </w:rPr>
      </w:pPr>
      <w:r>
        <w:rPr>
          <w:rFonts w:hint="eastAsia" w:ascii="仿宋" w:hAnsi="仿宋" w:eastAsia="仿宋"/>
          <w:sz w:val="24"/>
          <w:szCs w:val="24"/>
        </w:rPr>
        <w:t>（三）响应供应商未被“信用中国”网站列入失信被执行人、政府采购严重违法失信行为记录名单；为确保采购守法供应商公平参加采购活动，采购代理机构将在首次递交磋商响应文件截止时间开始后一个小时内，通过“信用中国”网站对供应商信用信息进行查询查证，并将查询记录截屏打印保存在采购档案内。如核实未通过，经磋商小组确认后资格审查不予通过。（供应商无需提供证明材料）</w:t>
      </w:r>
    </w:p>
    <w:p w14:paraId="74E49C4B">
      <w:pPr>
        <w:pStyle w:val="14"/>
        <w:spacing w:line="360" w:lineRule="auto"/>
        <w:ind w:firstLine="480" w:firstLineChars="200"/>
        <w:rPr>
          <w:rFonts w:ascii="仿宋" w:hAnsi="仿宋" w:eastAsia="仿宋"/>
          <w:sz w:val="24"/>
          <w:szCs w:val="24"/>
        </w:rPr>
      </w:pPr>
      <w:r>
        <w:rPr>
          <w:rFonts w:hint="eastAsia" w:ascii="仿宋" w:hAnsi="仿宋" w:eastAsia="仿宋"/>
          <w:sz w:val="24"/>
          <w:szCs w:val="24"/>
        </w:rPr>
        <w:t>（四）法定代表人为同一个人的两个及两个以上法人，母公司、全资子公司及其控股公司，都不得在同一采购项目相同标段中同时参加磋商活动，一经发现，将视同围标处理。</w:t>
      </w:r>
    </w:p>
    <w:p w14:paraId="17A989F0">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三、获取采购文件</w:t>
      </w:r>
    </w:p>
    <w:p w14:paraId="7AF11848">
      <w:pPr>
        <w:pStyle w:val="14"/>
        <w:spacing w:line="360" w:lineRule="auto"/>
        <w:ind w:firstLine="480" w:firstLineChars="200"/>
        <w:rPr>
          <w:rFonts w:ascii="仿宋" w:hAnsi="仿宋" w:eastAsia="仿宋"/>
          <w:sz w:val="24"/>
          <w:szCs w:val="24"/>
          <w:u w:val="single"/>
        </w:rPr>
      </w:pPr>
      <w:r>
        <w:rPr>
          <w:rFonts w:ascii="仿宋" w:hAnsi="仿宋" w:eastAsia="仿宋"/>
          <w:sz w:val="24"/>
          <w:szCs w:val="24"/>
        </w:rPr>
        <w:t>1、时间：</w:t>
      </w:r>
      <w:r>
        <w:rPr>
          <w:rFonts w:hint="eastAsia" w:ascii="仿宋" w:hAnsi="仿宋" w:eastAsia="仿宋"/>
          <w:sz w:val="24"/>
          <w:szCs w:val="24"/>
          <w:u w:val="single"/>
        </w:rPr>
        <w:t>自本公告发布之日起</w:t>
      </w:r>
      <w:r>
        <w:rPr>
          <w:rFonts w:ascii="仿宋" w:hAnsi="仿宋" w:eastAsia="仿宋"/>
          <w:sz w:val="24"/>
          <w:szCs w:val="24"/>
          <w:u w:val="single"/>
        </w:rPr>
        <w:t>至 20</w:t>
      </w:r>
      <w:r>
        <w:rPr>
          <w:rFonts w:hint="eastAsia" w:ascii="仿宋" w:hAnsi="仿宋" w:eastAsia="仿宋"/>
          <w:sz w:val="24"/>
          <w:szCs w:val="24"/>
          <w:u w:val="single"/>
        </w:rPr>
        <w:t>24</w:t>
      </w:r>
      <w:r>
        <w:rPr>
          <w:rFonts w:ascii="仿宋" w:hAnsi="仿宋" w:eastAsia="仿宋"/>
          <w:sz w:val="24"/>
          <w:szCs w:val="24"/>
          <w:u w:val="single"/>
        </w:rPr>
        <w:t>年</w:t>
      </w:r>
      <w:r>
        <w:rPr>
          <w:rFonts w:hint="eastAsia" w:ascii="仿宋" w:hAnsi="仿宋" w:eastAsia="仿宋"/>
          <w:sz w:val="24"/>
          <w:szCs w:val="24"/>
          <w:u w:val="single"/>
        </w:rPr>
        <w:t>7</w:t>
      </w:r>
      <w:r>
        <w:rPr>
          <w:rFonts w:ascii="仿宋" w:hAnsi="仿宋" w:eastAsia="仿宋"/>
          <w:sz w:val="24"/>
          <w:szCs w:val="24"/>
          <w:u w:val="single"/>
        </w:rPr>
        <w:t>月</w:t>
      </w:r>
      <w:r>
        <w:rPr>
          <w:rFonts w:hint="eastAsia" w:ascii="仿宋" w:hAnsi="仿宋" w:eastAsia="仿宋"/>
          <w:sz w:val="24"/>
          <w:szCs w:val="24"/>
          <w:u w:val="single"/>
          <w:lang w:val="en-US" w:eastAsia="zh-CN"/>
        </w:rPr>
        <w:t>23</w:t>
      </w:r>
      <w:r>
        <w:rPr>
          <w:rFonts w:ascii="仿宋" w:hAnsi="仿宋" w:eastAsia="仿宋"/>
          <w:sz w:val="24"/>
          <w:szCs w:val="24"/>
          <w:u w:val="single"/>
        </w:rPr>
        <w:t>日</w:t>
      </w:r>
      <w:r>
        <w:rPr>
          <w:rFonts w:hint="eastAsia" w:ascii="仿宋" w:hAnsi="仿宋" w:eastAsia="仿宋"/>
          <w:sz w:val="24"/>
          <w:szCs w:val="24"/>
          <w:u w:val="single"/>
        </w:rPr>
        <w:t>11时</w:t>
      </w:r>
      <w:r>
        <w:rPr>
          <w:rFonts w:ascii="仿宋" w:hAnsi="仿宋" w:eastAsia="仿宋"/>
          <w:sz w:val="24"/>
          <w:szCs w:val="24"/>
          <w:u w:val="single"/>
        </w:rPr>
        <w:t>止</w:t>
      </w:r>
    </w:p>
    <w:p w14:paraId="0993C9C6">
      <w:pPr>
        <w:pStyle w:val="14"/>
        <w:spacing w:line="360" w:lineRule="auto"/>
        <w:ind w:firstLine="480" w:firstLineChars="200"/>
        <w:rPr>
          <w:rFonts w:ascii="仿宋" w:hAnsi="仿宋" w:eastAsia="仿宋"/>
          <w:sz w:val="24"/>
          <w:szCs w:val="24"/>
        </w:rPr>
      </w:pPr>
      <w:r>
        <w:rPr>
          <w:rFonts w:ascii="仿宋" w:hAnsi="仿宋" w:eastAsia="仿宋"/>
          <w:sz w:val="24"/>
          <w:szCs w:val="24"/>
        </w:rPr>
        <w:t>2、地点：供应商</w:t>
      </w:r>
      <w:r>
        <w:rPr>
          <w:rFonts w:hint="eastAsia" w:ascii="仿宋" w:hAnsi="仿宋" w:eastAsia="仿宋"/>
          <w:sz w:val="24"/>
          <w:szCs w:val="24"/>
          <w:u w:val="single"/>
        </w:rPr>
        <w:t>直接从南通市退役军人事务局</w:t>
      </w:r>
      <w:r>
        <w:rPr>
          <w:rFonts w:ascii="仿宋" w:hAnsi="仿宋" w:eastAsia="仿宋"/>
          <w:kern w:val="0"/>
          <w:sz w:val="24"/>
          <w:szCs w:val="24"/>
        </w:rPr>
        <w:t>自行下载竞争性磋商文件等招标资料。</w:t>
      </w:r>
    </w:p>
    <w:p w14:paraId="44C09AE5">
      <w:pPr>
        <w:pStyle w:val="14"/>
        <w:spacing w:line="360" w:lineRule="auto"/>
        <w:ind w:firstLine="480" w:firstLineChars="200"/>
        <w:rPr>
          <w:rFonts w:ascii="仿宋" w:hAnsi="仿宋" w:eastAsia="仿宋"/>
          <w:sz w:val="24"/>
          <w:szCs w:val="24"/>
          <w:u w:val="single"/>
        </w:rPr>
      </w:pPr>
      <w:r>
        <w:rPr>
          <w:rFonts w:ascii="仿宋" w:hAnsi="仿宋" w:eastAsia="仿宋"/>
          <w:sz w:val="24"/>
          <w:szCs w:val="24"/>
        </w:rPr>
        <w:t>3、方式：自行下载</w:t>
      </w:r>
    </w:p>
    <w:p w14:paraId="6E3FEA24">
      <w:pPr>
        <w:pStyle w:val="14"/>
        <w:spacing w:line="360" w:lineRule="auto"/>
        <w:ind w:firstLine="480" w:firstLineChars="200"/>
        <w:rPr>
          <w:rFonts w:ascii="仿宋" w:hAnsi="仿宋" w:eastAsia="仿宋"/>
          <w:b/>
          <w:bCs/>
          <w:sz w:val="24"/>
          <w:szCs w:val="24"/>
        </w:rPr>
      </w:pPr>
      <w:r>
        <w:rPr>
          <w:rFonts w:hint="eastAsia" w:ascii="仿宋" w:hAnsi="仿宋" w:eastAsia="仿宋"/>
          <w:bCs/>
          <w:sz w:val="24"/>
          <w:szCs w:val="24"/>
        </w:rPr>
        <w:t>4、磋商响应报名：请各获取本次磋商文件的投标供应商，认真阅读各项内容，进行必要准备工作，按文件要求详细填写和编制磋商响应文件，并按公告确定的时间、地点准时参加本项目的磋商活动。供应商如确定参加磋商活动，请如实填写《供应商参加磋商确认函》并邮件至采购代理机构（邮箱：13862943128@163.com，联系电话：13862943128），同时需与招标代理机构经办人确认是否收到《供应商参加磋商确认函》（格式见招标文件最后），回复接收截止时间：2024年7月</w:t>
      </w:r>
      <w:r>
        <w:rPr>
          <w:rFonts w:hint="eastAsia" w:ascii="仿宋" w:hAnsi="仿宋" w:eastAsia="仿宋"/>
          <w:bCs/>
          <w:sz w:val="24"/>
          <w:szCs w:val="24"/>
          <w:lang w:val="en-US" w:eastAsia="zh-CN"/>
        </w:rPr>
        <w:t>23</w:t>
      </w:r>
      <w:r>
        <w:rPr>
          <w:rFonts w:hint="eastAsia" w:ascii="仿宋" w:hAnsi="仿宋" w:eastAsia="仿宋"/>
          <w:bCs/>
          <w:sz w:val="24"/>
          <w:szCs w:val="24"/>
        </w:rPr>
        <w:t>日11时。如供应商未按上述要求去做，将自行承担所产生的风险。未报名（提交确认函）者、超过时限者不得前来参加磋商活动，内容不全者后果自负</w:t>
      </w:r>
      <w:r>
        <w:rPr>
          <w:rFonts w:hint="eastAsia" w:ascii="仿宋" w:hAnsi="仿宋" w:eastAsia="仿宋"/>
          <w:b/>
          <w:bCs/>
          <w:sz w:val="24"/>
          <w:szCs w:val="24"/>
        </w:rPr>
        <w:t>。</w:t>
      </w:r>
    </w:p>
    <w:p w14:paraId="08B9DA05">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四、响应文件提交</w:t>
      </w:r>
    </w:p>
    <w:p w14:paraId="67898FAF">
      <w:pPr>
        <w:pStyle w:val="14"/>
        <w:spacing w:line="360" w:lineRule="auto"/>
        <w:ind w:firstLine="480" w:firstLineChars="200"/>
        <w:rPr>
          <w:rFonts w:ascii="仿宋" w:hAnsi="仿宋" w:eastAsia="仿宋"/>
          <w:sz w:val="24"/>
          <w:szCs w:val="24"/>
          <w:u w:val="single"/>
        </w:rPr>
      </w:pPr>
      <w:r>
        <w:rPr>
          <w:rFonts w:ascii="仿宋" w:hAnsi="仿宋" w:eastAsia="仿宋"/>
          <w:sz w:val="24"/>
          <w:szCs w:val="24"/>
        </w:rPr>
        <w:t>1、</w:t>
      </w:r>
      <w:r>
        <w:rPr>
          <w:rFonts w:ascii="仿宋" w:hAnsi="仿宋" w:eastAsia="仿宋"/>
          <w:sz w:val="24"/>
          <w:szCs w:val="24"/>
          <w:u w:val="single"/>
        </w:rPr>
        <w:t>递交</w:t>
      </w:r>
      <w:r>
        <w:rPr>
          <w:rFonts w:hint="eastAsia" w:ascii="仿宋" w:hAnsi="仿宋" w:eastAsia="仿宋"/>
          <w:sz w:val="24"/>
          <w:szCs w:val="24"/>
          <w:u w:val="single"/>
        </w:rPr>
        <w:t>响应文件</w:t>
      </w:r>
      <w:r>
        <w:rPr>
          <w:rFonts w:ascii="仿宋" w:hAnsi="仿宋" w:eastAsia="仿宋"/>
          <w:sz w:val="24"/>
          <w:szCs w:val="24"/>
          <w:u w:val="single"/>
        </w:rPr>
        <w:t xml:space="preserve">截止时间： </w:t>
      </w:r>
      <w:r>
        <w:rPr>
          <w:rFonts w:ascii="仿宋" w:hAnsi="仿宋" w:eastAsia="仿宋"/>
          <w:kern w:val="0"/>
          <w:sz w:val="24"/>
          <w:szCs w:val="24"/>
          <w:u w:val="single"/>
        </w:rPr>
        <w:t>20</w:t>
      </w:r>
      <w:r>
        <w:rPr>
          <w:rFonts w:hint="eastAsia" w:ascii="仿宋" w:hAnsi="仿宋" w:eastAsia="仿宋"/>
          <w:kern w:val="0"/>
          <w:sz w:val="24"/>
          <w:szCs w:val="24"/>
          <w:u w:val="single"/>
        </w:rPr>
        <w:t>24</w:t>
      </w:r>
      <w:r>
        <w:rPr>
          <w:rFonts w:ascii="仿宋" w:hAnsi="仿宋" w:eastAsia="仿宋"/>
          <w:kern w:val="0"/>
          <w:sz w:val="24"/>
          <w:szCs w:val="24"/>
          <w:u w:val="single"/>
        </w:rPr>
        <w:t>年</w:t>
      </w:r>
      <w:r>
        <w:rPr>
          <w:rFonts w:hint="eastAsia" w:ascii="仿宋" w:hAnsi="仿宋" w:eastAsia="仿宋"/>
          <w:kern w:val="0"/>
          <w:sz w:val="24"/>
          <w:szCs w:val="24"/>
          <w:u w:val="single"/>
        </w:rPr>
        <w:t>7月</w:t>
      </w:r>
      <w:r>
        <w:rPr>
          <w:rFonts w:hint="eastAsia" w:ascii="仿宋" w:hAnsi="仿宋" w:eastAsia="仿宋"/>
          <w:kern w:val="0"/>
          <w:sz w:val="24"/>
          <w:szCs w:val="24"/>
          <w:u w:val="single"/>
          <w:lang w:val="en-US" w:eastAsia="zh-CN"/>
        </w:rPr>
        <w:t>23</w:t>
      </w:r>
      <w:r>
        <w:rPr>
          <w:rFonts w:ascii="仿宋" w:hAnsi="仿宋" w:eastAsia="仿宋"/>
          <w:kern w:val="0"/>
          <w:sz w:val="24"/>
          <w:szCs w:val="24"/>
          <w:u w:val="single"/>
        </w:rPr>
        <w:t xml:space="preserve">日 </w:t>
      </w:r>
      <w:r>
        <w:rPr>
          <w:rFonts w:hint="eastAsia" w:ascii="仿宋" w:hAnsi="仿宋" w:eastAsia="仿宋"/>
          <w:kern w:val="0"/>
          <w:sz w:val="24"/>
          <w:szCs w:val="24"/>
          <w:u w:val="single"/>
        </w:rPr>
        <w:t>14时</w:t>
      </w:r>
      <w:r>
        <w:rPr>
          <w:rFonts w:ascii="仿宋" w:hAnsi="仿宋" w:eastAsia="仿宋"/>
          <w:kern w:val="0"/>
          <w:sz w:val="24"/>
          <w:szCs w:val="24"/>
          <w:u w:val="single"/>
        </w:rPr>
        <w:t xml:space="preserve"> 30 分</w:t>
      </w:r>
      <w:r>
        <w:rPr>
          <w:rFonts w:ascii="仿宋" w:hAnsi="仿宋" w:eastAsia="仿宋"/>
          <w:sz w:val="24"/>
          <w:szCs w:val="24"/>
        </w:rPr>
        <w:t>（北京时间），逾期送达将作无效响应处理。</w:t>
      </w:r>
    </w:p>
    <w:p w14:paraId="4F232BD2">
      <w:pPr>
        <w:pStyle w:val="14"/>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b/>
          <w:bCs/>
          <w:sz w:val="24"/>
          <w:szCs w:val="24"/>
        </w:rPr>
        <w:t>递交响应文件</w:t>
      </w:r>
      <w:r>
        <w:rPr>
          <w:rFonts w:ascii="仿宋" w:hAnsi="仿宋" w:eastAsia="仿宋"/>
          <w:b/>
          <w:bCs/>
          <w:sz w:val="24"/>
          <w:szCs w:val="24"/>
        </w:rPr>
        <w:t>地点：</w:t>
      </w:r>
      <w:r>
        <w:rPr>
          <w:rFonts w:hint="eastAsia" w:ascii="仿宋" w:hAnsi="仿宋" w:eastAsia="仿宋" w:cs="仿宋"/>
          <w:b/>
          <w:bCs/>
          <w:sz w:val="24"/>
          <w:szCs w:val="24"/>
        </w:rPr>
        <w:t>南通市红星路5号紫琅医院1号楼8楼</w:t>
      </w:r>
    </w:p>
    <w:p w14:paraId="08F3839D">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五、开启</w:t>
      </w:r>
    </w:p>
    <w:p w14:paraId="17EBFC9B">
      <w:pPr>
        <w:pStyle w:val="14"/>
        <w:spacing w:line="360" w:lineRule="auto"/>
        <w:ind w:firstLine="480" w:firstLineChars="200"/>
        <w:rPr>
          <w:rFonts w:ascii="仿宋" w:hAnsi="仿宋" w:eastAsia="仿宋"/>
          <w:sz w:val="28"/>
          <w:szCs w:val="28"/>
          <w:u w:val="single"/>
        </w:rPr>
      </w:pPr>
      <w:r>
        <w:rPr>
          <w:rFonts w:ascii="仿宋" w:hAnsi="仿宋" w:eastAsia="仿宋"/>
          <w:sz w:val="24"/>
          <w:szCs w:val="24"/>
        </w:rPr>
        <w:t>时间：</w:t>
      </w:r>
      <w:r>
        <w:rPr>
          <w:rFonts w:ascii="仿宋" w:hAnsi="仿宋" w:eastAsia="仿宋"/>
          <w:kern w:val="0"/>
          <w:sz w:val="24"/>
          <w:szCs w:val="24"/>
          <w:u w:val="single"/>
        </w:rPr>
        <w:t>20</w:t>
      </w:r>
      <w:r>
        <w:rPr>
          <w:rFonts w:hint="eastAsia" w:ascii="仿宋" w:hAnsi="仿宋" w:eastAsia="仿宋"/>
          <w:kern w:val="0"/>
          <w:sz w:val="24"/>
          <w:szCs w:val="24"/>
          <w:u w:val="single"/>
        </w:rPr>
        <w:t>24</w:t>
      </w:r>
      <w:r>
        <w:rPr>
          <w:rFonts w:ascii="仿宋" w:hAnsi="仿宋" w:eastAsia="仿宋"/>
          <w:kern w:val="0"/>
          <w:sz w:val="24"/>
          <w:szCs w:val="24"/>
          <w:u w:val="single"/>
        </w:rPr>
        <w:t>年</w:t>
      </w:r>
      <w:r>
        <w:rPr>
          <w:rFonts w:hint="eastAsia" w:ascii="仿宋" w:hAnsi="仿宋" w:eastAsia="仿宋"/>
          <w:kern w:val="0"/>
          <w:sz w:val="24"/>
          <w:szCs w:val="24"/>
          <w:u w:val="single"/>
        </w:rPr>
        <w:t>7月</w:t>
      </w:r>
      <w:r>
        <w:rPr>
          <w:rFonts w:hint="eastAsia" w:ascii="仿宋" w:hAnsi="仿宋" w:eastAsia="仿宋"/>
          <w:kern w:val="0"/>
          <w:sz w:val="24"/>
          <w:szCs w:val="24"/>
          <w:u w:val="single"/>
          <w:lang w:val="en-US" w:eastAsia="zh-CN"/>
        </w:rPr>
        <w:t>23</w:t>
      </w:r>
      <w:r>
        <w:rPr>
          <w:rFonts w:hint="eastAsia" w:ascii="仿宋" w:hAnsi="仿宋" w:eastAsia="仿宋"/>
          <w:kern w:val="0"/>
          <w:sz w:val="24"/>
          <w:szCs w:val="24"/>
          <w:u w:val="single"/>
        </w:rPr>
        <w:t xml:space="preserve"> </w:t>
      </w:r>
      <w:r>
        <w:rPr>
          <w:rFonts w:ascii="仿宋" w:hAnsi="仿宋" w:eastAsia="仿宋"/>
          <w:kern w:val="0"/>
          <w:sz w:val="24"/>
          <w:szCs w:val="24"/>
          <w:u w:val="single"/>
        </w:rPr>
        <w:t>日</w:t>
      </w:r>
      <w:r>
        <w:rPr>
          <w:rFonts w:hint="eastAsia" w:ascii="仿宋" w:hAnsi="仿宋" w:eastAsia="仿宋"/>
          <w:kern w:val="0"/>
          <w:sz w:val="24"/>
          <w:szCs w:val="24"/>
          <w:u w:val="single"/>
        </w:rPr>
        <w:t>14时</w:t>
      </w:r>
      <w:r>
        <w:rPr>
          <w:rFonts w:ascii="仿宋" w:hAnsi="仿宋" w:eastAsia="仿宋"/>
          <w:kern w:val="0"/>
          <w:sz w:val="24"/>
          <w:szCs w:val="24"/>
          <w:u w:val="single"/>
        </w:rPr>
        <w:t xml:space="preserve"> 30 分</w:t>
      </w:r>
      <w:r>
        <w:rPr>
          <w:rFonts w:ascii="仿宋" w:hAnsi="仿宋" w:eastAsia="仿宋"/>
          <w:sz w:val="24"/>
          <w:szCs w:val="24"/>
        </w:rPr>
        <w:t>（北京时间）</w:t>
      </w:r>
    </w:p>
    <w:p w14:paraId="6B4C87CD">
      <w:pPr>
        <w:pStyle w:val="14"/>
        <w:spacing w:line="360" w:lineRule="auto"/>
        <w:ind w:firstLine="482" w:firstLineChars="200"/>
        <w:rPr>
          <w:rFonts w:ascii="仿宋" w:hAnsi="仿宋" w:eastAsia="仿宋"/>
          <w:b/>
          <w:bCs/>
          <w:sz w:val="24"/>
          <w:szCs w:val="24"/>
          <w:u w:val="single"/>
        </w:rPr>
      </w:pPr>
      <w:r>
        <w:rPr>
          <w:rFonts w:ascii="仿宋" w:hAnsi="仿宋" w:eastAsia="仿宋"/>
          <w:b/>
          <w:bCs/>
          <w:sz w:val="24"/>
          <w:szCs w:val="24"/>
        </w:rPr>
        <w:t>地点：</w:t>
      </w:r>
      <w:r>
        <w:rPr>
          <w:rFonts w:hint="eastAsia" w:ascii="仿宋" w:hAnsi="仿宋" w:eastAsia="仿宋" w:cs="仿宋"/>
          <w:b/>
          <w:bCs/>
          <w:sz w:val="24"/>
          <w:szCs w:val="24"/>
        </w:rPr>
        <w:t>南通市红星路5号紫琅医院1号楼8楼</w:t>
      </w:r>
    </w:p>
    <w:p w14:paraId="3C068163">
      <w:pPr>
        <w:pStyle w:val="14"/>
        <w:spacing w:line="360" w:lineRule="auto"/>
        <w:ind w:firstLine="482" w:firstLineChars="200"/>
        <w:rPr>
          <w:rFonts w:ascii="宋体" w:hAnsi="宋体"/>
          <w:b/>
          <w:sz w:val="24"/>
        </w:rPr>
      </w:pPr>
      <w:r>
        <w:rPr>
          <w:rFonts w:ascii="仿宋" w:hAnsi="仿宋" w:eastAsia="仿宋" w:cs="仿宋"/>
          <w:b/>
          <w:bCs/>
          <w:sz w:val="24"/>
          <w:szCs w:val="24"/>
        </w:rPr>
        <w:t>六、磋商公告期限</w:t>
      </w:r>
    </w:p>
    <w:p w14:paraId="1E0F5E46">
      <w:pPr>
        <w:pStyle w:val="14"/>
        <w:spacing w:line="360" w:lineRule="auto"/>
        <w:ind w:firstLine="480" w:firstLineChars="200"/>
        <w:rPr>
          <w:rFonts w:ascii="仿宋" w:hAnsi="仿宋" w:eastAsia="仿宋"/>
          <w:b/>
          <w:bCs/>
        </w:rPr>
      </w:pPr>
      <w:r>
        <w:rPr>
          <w:rFonts w:ascii="仿宋" w:hAnsi="仿宋" w:eastAsia="仿宋" w:cs="仿宋"/>
          <w:sz w:val="24"/>
        </w:rPr>
        <w:t>自磋商公告发布之日起</w:t>
      </w:r>
      <w:r>
        <w:rPr>
          <w:rFonts w:hint="eastAsia" w:ascii="仿宋" w:hAnsi="仿宋" w:eastAsia="仿宋" w:cs="仿宋"/>
          <w:sz w:val="24"/>
        </w:rPr>
        <w:t>3</w:t>
      </w:r>
      <w:r>
        <w:rPr>
          <w:rFonts w:ascii="仿宋" w:hAnsi="仿宋" w:eastAsia="仿宋" w:cs="仿宋"/>
          <w:sz w:val="24"/>
        </w:rPr>
        <w:t>个工作日。</w:t>
      </w:r>
    </w:p>
    <w:p w14:paraId="20A44831">
      <w:pPr>
        <w:pStyle w:val="14"/>
        <w:spacing w:line="440" w:lineRule="exact"/>
        <w:ind w:firstLine="482" w:firstLineChars="200"/>
        <w:rPr>
          <w:rFonts w:ascii="仿宋" w:hAnsi="仿宋" w:eastAsia="仿宋"/>
          <w:b/>
          <w:bCs/>
          <w:sz w:val="24"/>
          <w:szCs w:val="24"/>
        </w:rPr>
      </w:pPr>
      <w:r>
        <w:rPr>
          <w:rFonts w:ascii="仿宋" w:hAnsi="仿宋" w:eastAsia="仿宋"/>
          <w:b/>
          <w:bCs/>
          <w:sz w:val="24"/>
          <w:szCs w:val="24"/>
        </w:rPr>
        <w:t>七、其他补充事宜</w:t>
      </w:r>
    </w:p>
    <w:p w14:paraId="1EE41A3C">
      <w:pPr>
        <w:pStyle w:val="14"/>
        <w:spacing w:line="440" w:lineRule="exact"/>
        <w:ind w:firstLine="480" w:firstLineChars="200"/>
        <w:rPr>
          <w:rFonts w:ascii="仿宋" w:hAnsi="仿宋" w:eastAsia="仿宋"/>
          <w:sz w:val="24"/>
          <w:szCs w:val="24"/>
        </w:rPr>
      </w:pPr>
      <w:r>
        <w:rPr>
          <w:rFonts w:ascii="仿宋" w:hAnsi="仿宋" w:eastAsia="仿宋"/>
          <w:sz w:val="24"/>
          <w:szCs w:val="24"/>
        </w:rPr>
        <w:t>1、本项目的采购人其他资格要求、项目需求、评分标准，均由采购人提出。相关的询问、质疑，请直接向采购人提出，并由采购人负责答复。</w:t>
      </w:r>
    </w:p>
    <w:p w14:paraId="4911A191">
      <w:pPr>
        <w:pStyle w:val="14"/>
        <w:spacing w:line="440" w:lineRule="exact"/>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、到现场磋商时，请考虑路途拥堵、停车困难等情况，适当提前到达。</w:t>
      </w:r>
    </w:p>
    <w:p w14:paraId="3FA7996E">
      <w:pPr>
        <w:pStyle w:val="14"/>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、有关本次磋商的事项若存在澄清或修改，敬请及时关注“</w:t>
      </w:r>
      <w:r>
        <w:rPr>
          <w:rFonts w:hint="eastAsia" w:ascii="仿宋" w:hAnsi="仿宋" w:eastAsia="仿宋"/>
          <w:sz w:val="24"/>
          <w:szCs w:val="24"/>
          <w:u w:val="single"/>
        </w:rPr>
        <w:t>南通市退役军人事务局</w:t>
      </w:r>
      <w:r>
        <w:rPr>
          <w:rFonts w:ascii="仿宋" w:hAnsi="仿宋" w:eastAsia="仿宋"/>
          <w:sz w:val="24"/>
          <w:szCs w:val="24"/>
        </w:rPr>
        <w:t>”发布的信息更正公告。</w:t>
      </w:r>
    </w:p>
    <w:p w14:paraId="140D4FE9">
      <w:pPr>
        <w:pStyle w:val="14"/>
        <w:spacing w:line="360" w:lineRule="auto"/>
        <w:ind w:firstLine="480" w:firstLineChars="200"/>
        <w:rPr>
          <w:rFonts w:ascii="仿宋" w:hAnsi="仿宋" w:eastAsia="仿宋"/>
          <w:b/>
          <w:bCs/>
          <w:sz w:val="24"/>
          <w:szCs w:val="24"/>
        </w:rPr>
      </w:pPr>
      <w:r>
        <w:rPr>
          <w:rFonts w:hint="eastAsia" w:ascii="仿宋" w:hAnsi="仿宋" w:eastAsia="仿宋"/>
          <w:sz w:val="24"/>
          <w:szCs w:val="24"/>
        </w:rPr>
        <w:t>4</w:t>
      </w:r>
      <w:r>
        <w:rPr>
          <w:rFonts w:ascii="仿宋" w:hAnsi="仿宋" w:eastAsia="仿宋"/>
          <w:sz w:val="24"/>
          <w:szCs w:val="24"/>
        </w:rPr>
        <w:t>、</w:t>
      </w:r>
      <w:r>
        <w:rPr>
          <w:rFonts w:ascii="仿宋" w:hAnsi="仿宋" w:eastAsia="仿宋"/>
          <w:b/>
          <w:bCs/>
          <w:sz w:val="24"/>
          <w:szCs w:val="24"/>
        </w:rPr>
        <w:t>本项目纸质</w:t>
      </w:r>
      <w:r>
        <w:rPr>
          <w:rFonts w:hint="eastAsia" w:ascii="仿宋" w:hAnsi="仿宋" w:eastAsia="仿宋"/>
          <w:b/>
          <w:bCs/>
          <w:sz w:val="24"/>
          <w:szCs w:val="24"/>
        </w:rPr>
        <w:t>响应</w:t>
      </w:r>
      <w:r>
        <w:rPr>
          <w:rFonts w:ascii="仿宋" w:hAnsi="仿宋" w:eastAsia="仿宋"/>
          <w:b/>
          <w:bCs/>
          <w:sz w:val="24"/>
          <w:szCs w:val="24"/>
        </w:rPr>
        <w:t>文件：资格审查资料包（一正二副，可一并密封），技术标包（一正二副，可一并密封），报价标包（一正二副，可一并密封）；</w:t>
      </w:r>
    </w:p>
    <w:p w14:paraId="190CAF15">
      <w:pPr>
        <w:pStyle w:val="14"/>
        <w:spacing w:line="360" w:lineRule="auto"/>
        <w:ind w:firstLine="482" w:firstLineChars="200"/>
        <w:rPr>
          <w:rFonts w:ascii="仿宋" w:hAnsi="仿宋" w:eastAsia="仿宋"/>
          <w:b/>
          <w:bCs/>
          <w:kern w:val="0"/>
          <w:sz w:val="24"/>
          <w:szCs w:val="24"/>
        </w:rPr>
      </w:pPr>
      <w:r>
        <w:rPr>
          <w:rFonts w:ascii="仿宋" w:hAnsi="仿宋" w:eastAsia="仿宋"/>
          <w:b/>
          <w:bCs/>
          <w:sz w:val="24"/>
          <w:szCs w:val="24"/>
        </w:rPr>
        <w:t>七、凡对本次采购提出询问，请按以下方式联系。</w:t>
      </w:r>
    </w:p>
    <w:p w14:paraId="74E16B5F">
      <w:pPr>
        <w:pStyle w:val="14"/>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采购人信息</w:t>
      </w:r>
    </w:p>
    <w:p w14:paraId="0C64BBBF">
      <w:pPr>
        <w:pStyle w:val="14"/>
        <w:spacing w:line="360" w:lineRule="auto"/>
        <w:ind w:firstLine="480" w:firstLineChars="200"/>
        <w:rPr>
          <w:rFonts w:ascii="仿宋" w:hAnsi="仿宋" w:eastAsia="仿宋"/>
          <w:sz w:val="24"/>
          <w:szCs w:val="24"/>
        </w:rPr>
      </w:pPr>
      <w:r>
        <w:rPr>
          <w:rFonts w:ascii="仿宋" w:hAnsi="仿宋" w:eastAsia="仿宋"/>
          <w:sz w:val="24"/>
          <w:szCs w:val="24"/>
        </w:rPr>
        <w:t>名    称：</w:t>
      </w:r>
      <w:r>
        <w:rPr>
          <w:rFonts w:hint="eastAsia" w:ascii="仿宋" w:hAnsi="仿宋" w:eastAsia="仿宋"/>
          <w:sz w:val="24"/>
          <w:szCs w:val="24"/>
        </w:rPr>
        <w:t xml:space="preserve">南通市假肢修配站      </w:t>
      </w:r>
      <w:r>
        <w:rPr>
          <w:rFonts w:ascii="仿宋" w:hAnsi="仿宋" w:eastAsia="仿宋"/>
          <w:sz w:val="24"/>
          <w:szCs w:val="24"/>
        </w:rPr>
        <w:t xml:space="preserve">  </w:t>
      </w:r>
    </w:p>
    <w:p w14:paraId="1AFC3C12">
      <w:pPr>
        <w:pStyle w:val="14"/>
        <w:spacing w:line="360" w:lineRule="auto"/>
        <w:ind w:firstLine="480" w:firstLineChars="200"/>
        <w:rPr>
          <w:rFonts w:ascii="仿宋" w:hAnsi="仿宋" w:eastAsia="仿宋"/>
          <w:sz w:val="24"/>
          <w:szCs w:val="24"/>
        </w:rPr>
      </w:pPr>
      <w:r>
        <w:rPr>
          <w:rFonts w:ascii="仿宋" w:hAnsi="仿宋" w:eastAsia="仿宋"/>
          <w:sz w:val="24"/>
          <w:szCs w:val="24"/>
        </w:rPr>
        <w:t>地    址：</w:t>
      </w:r>
      <w:r>
        <w:rPr>
          <w:rFonts w:hint="eastAsia" w:ascii="仿宋" w:hAnsi="仿宋" w:eastAsia="仿宋"/>
          <w:sz w:val="24"/>
          <w:szCs w:val="24"/>
        </w:rPr>
        <w:t>南通市红星路5号</w:t>
      </w:r>
    </w:p>
    <w:p w14:paraId="13E2EE48">
      <w:pPr>
        <w:pStyle w:val="14"/>
        <w:spacing w:line="360" w:lineRule="auto"/>
        <w:ind w:firstLine="480" w:firstLineChars="200"/>
        <w:rPr>
          <w:rFonts w:ascii="仿宋" w:hAnsi="仿宋" w:eastAsia="仿宋"/>
          <w:sz w:val="24"/>
          <w:szCs w:val="24"/>
        </w:rPr>
      </w:pPr>
      <w:r>
        <w:rPr>
          <w:rFonts w:ascii="仿宋" w:hAnsi="仿宋" w:eastAsia="仿宋"/>
          <w:sz w:val="24"/>
          <w:szCs w:val="24"/>
        </w:rPr>
        <w:t>联 系 方 式：</w:t>
      </w:r>
      <w:r>
        <w:rPr>
          <w:rFonts w:hint="eastAsia" w:ascii="仿宋" w:hAnsi="仿宋" w:eastAsia="仿宋"/>
          <w:sz w:val="24"/>
          <w:szCs w:val="24"/>
        </w:rPr>
        <w:t xml:space="preserve">陈先生 </w:t>
      </w:r>
      <w:r>
        <w:rPr>
          <w:rFonts w:ascii="仿宋" w:hAnsi="仿宋" w:eastAsia="仿宋"/>
          <w:sz w:val="24"/>
          <w:szCs w:val="24"/>
        </w:rPr>
        <w:t xml:space="preserve">  </w:t>
      </w:r>
      <w:r>
        <w:rPr>
          <w:rFonts w:hint="eastAsia" w:ascii="仿宋" w:hAnsi="仿宋" w:eastAsia="仿宋"/>
          <w:sz w:val="24"/>
          <w:szCs w:val="24"/>
        </w:rPr>
        <w:t>0513-81589360</w:t>
      </w:r>
      <w:r>
        <w:rPr>
          <w:rFonts w:ascii="仿宋" w:hAnsi="仿宋" w:eastAsia="仿宋"/>
          <w:sz w:val="24"/>
          <w:szCs w:val="24"/>
        </w:rPr>
        <w:t xml:space="preserve">  </w:t>
      </w:r>
    </w:p>
    <w:p w14:paraId="4A76C0BD">
      <w:pPr>
        <w:pStyle w:val="14"/>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采购代理机构信息</w:t>
      </w:r>
    </w:p>
    <w:p w14:paraId="23F1F8A3">
      <w:pPr>
        <w:pStyle w:val="14"/>
        <w:spacing w:line="360" w:lineRule="auto"/>
        <w:ind w:firstLine="480" w:firstLineChars="200"/>
        <w:rPr>
          <w:rFonts w:ascii="仿宋" w:hAnsi="仿宋" w:eastAsia="仿宋"/>
          <w:sz w:val="24"/>
          <w:szCs w:val="24"/>
        </w:rPr>
      </w:pPr>
      <w:r>
        <w:rPr>
          <w:rFonts w:ascii="仿宋" w:hAnsi="仿宋" w:eastAsia="仿宋"/>
          <w:sz w:val="24"/>
          <w:szCs w:val="24"/>
        </w:rPr>
        <w:t>名    称：</w:t>
      </w:r>
      <w:r>
        <w:rPr>
          <w:rFonts w:hint="eastAsia" w:ascii="仿宋" w:hAnsi="仿宋" w:eastAsia="仿宋"/>
          <w:sz w:val="24"/>
          <w:szCs w:val="24"/>
        </w:rPr>
        <w:t>江苏全通工程技术有限公司</w:t>
      </w:r>
    </w:p>
    <w:p w14:paraId="5AA5A7F3">
      <w:pPr>
        <w:pStyle w:val="14"/>
        <w:spacing w:line="360" w:lineRule="auto"/>
        <w:ind w:firstLine="480" w:firstLineChars="200"/>
        <w:rPr>
          <w:rFonts w:ascii="仿宋" w:hAnsi="仿宋" w:eastAsia="仿宋"/>
          <w:sz w:val="24"/>
          <w:szCs w:val="24"/>
        </w:rPr>
      </w:pPr>
      <w:r>
        <w:rPr>
          <w:rFonts w:ascii="仿宋" w:hAnsi="仿宋" w:eastAsia="仿宋"/>
          <w:sz w:val="24"/>
          <w:szCs w:val="24"/>
        </w:rPr>
        <w:t xml:space="preserve">地  </w:t>
      </w:r>
      <w:r>
        <w:rPr>
          <w:rFonts w:hint="eastAsia" w:ascii="仿宋" w:hAnsi="仿宋" w:eastAsia="仿宋"/>
          <w:sz w:val="24"/>
          <w:szCs w:val="24"/>
        </w:rPr>
        <w:t xml:space="preserve"> </w:t>
      </w:r>
      <w:r>
        <w:rPr>
          <w:rFonts w:ascii="仿宋" w:hAnsi="仿宋" w:eastAsia="仿宋"/>
          <w:sz w:val="24"/>
          <w:szCs w:val="24"/>
        </w:rPr>
        <w:t xml:space="preserve"> 址：</w:t>
      </w:r>
      <w:r>
        <w:rPr>
          <w:rFonts w:hint="eastAsia" w:ascii="仿宋" w:hAnsi="仿宋" w:eastAsia="仿宋"/>
          <w:sz w:val="24"/>
          <w:szCs w:val="24"/>
        </w:rPr>
        <w:t>南通市江海大道488号金贸国际25楼2508</w:t>
      </w:r>
    </w:p>
    <w:p w14:paraId="2BEA9A67">
      <w:pPr>
        <w:pStyle w:val="14"/>
        <w:spacing w:line="360" w:lineRule="auto"/>
        <w:ind w:firstLine="480" w:firstLineChars="200"/>
        <w:rPr>
          <w:rFonts w:ascii="仿宋" w:hAnsi="仿宋" w:eastAsia="仿宋"/>
          <w:sz w:val="24"/>
          <w:szCs w:val="24"/>
        </w:rPr>
      </w:pPr>
      <w:r>
        <w:rPr>
          <w:rFonts w:ascii="仿宋" w:hAnsi="仿宋" w:eastAsia="仿宋"/>
          <w:sz w:val="24"/>
          <w:szCs w:val="24"/>
        </w:rPr>
        <w:t>联 系 方 式：</w:t>
      </w:r>
      <w:r>
        <w:rPr>
          <w:rFonts w:hint="eastAsia" w:ascii="仿宋" w:hAnsi="仿宋" w:eastAsia="仿宋"/>
          <w:sz w:val="24"/>
          <w:szCs w:val="24"/>
        </w:rPr>
        <w:t xml:space="preserve">缪工   </w:t>
      </w:r>
      <w:r>
        <w:rPr>
          <w:rFonts w:ascii="仿宋" w:hAnsi="仿宋" w:eastAsia="仿宋"/>
          <w:sz w:val="24"/>
          <w:szCs w:val="24"/>
        </w:rPr>
        <w:t>13862943128</w:t>
      </w:r>
    </w:p>
    <w:p w14:paraId="49DDE925">
      <w:pPr>
        <w:pStyle w:val="14"/>
        <w:jc w:val="center"/>
        <w:rPr>
          <w:rFonts w:ascii="仿宋" w:hAnsi="仿宋" w:eastAsia="仿宋"/>
          <w:b/>
          <w:bCs/>
          <w:sz w:val="32"/>
          <w:szCs w:val="32"/>
        </w:rPr>
      </w:pPr>
      <w:r>
        <w:br w:type="page"/>
      </w:r>
      <w:r>
        <w:rPr>
          <w:rFonts w:ascii="仿宋" w:hAnsi="仿宋" w:eastAsia="仿宋"/>
          <w:b/>
          <w:bCs/>
          <w:sz w:val="32"/>
          <w:szCs w:val="32"/>
        </w:rPr>
        <w:t>第二章磋商须知</w:t>
      </w:r>
    </w:p>
    <w:p w14:paraId="70F6279E">
      <w:pPr>
        <w:pStyle w:val="14"/>
        <w:spacing w:before="120" w:after="120" w:line="360" w:lineRule="auto"/>
        <w:jc w:val="center"/>
        <w:rPr>
          <w:rFonts w:ascii="仿宋" w:hAnsi="仿宋" w:eastAsia="仿宋"/>
          <w:b/>
          <w:bCs/>
          <w:sz w:val="24"/>
          <w:szCs w:val="24"/>
        </w:rPr>
      </w:pPr>
      <w:r>
        <w:rPr>
          <w:rFonts w:ascii="仿宋" w:hAnsi="仿宋" w:eastAsia="仿宋"/>
          <w:sz w:val="24"/>
          <w:szCs w:val="24"/>
        </w:rPr>
        <w:t>（参加竞争性磋商的供应商以下简称“磋商供应商”）</w:t>
      </w:r>
    </w:p>
    <w:p w14:paraId="02636411">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一、总则</w:t>
      </w:r>
    </w:p>
    <w:p w14:paraId="1733D79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1、适用范围</w:t>
      </w:r>
    </w:p>
    <w:p w14:paraId="1A7ED35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1.1 本竞争性磋商文件（以下简称磋商文件）仅适用此项目。</w:t>
      </w:r>
    </w:p>
    <w:p w14:paraId="2D17932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2、项目采购方式</w:t>
      </w:r>
    </w:p>
    <w:p w14:paraId="4EC59E3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本次采购采取竞争性磋商的方式。</w:t>
      </w:r>
    </w:p>
    <w:p w14:paraId="35857FC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3、合格的磋商供应商</w:t>
      </w:r>
    </w:p>
    <w:p w14:paraId="0720DDC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3.1满足本磋商文件“竞争性磋商采购邀请”中合格磋商供应商资格要求的规定。</w:t>
      </w:r>
    </w:p>
    <w:p w14:paraId="0B7EE60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3.2 满足本磋商文件实质性要求和条件的规定。</w:t>
      </w:r>
      <w:r>
        <w:rPr>
          <w:rFonts w:ascii="仿宋" w:hAnsi="仿宋" w:eastAsia="仿宋"/>
          <w:sz w:val="24"/>
          <w:szCs w:val="24"/>
        </w:rPr>
        <w:tab/>
      </w:r>
    </w:p>
    <w:p w14:paraId="5C03C02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4、参加磋商费用</w:t>
      </w:r>
    </w:p>
    <w:p w14:paraId="608214B6">
      <w:pPr>
        <w:pStyle w:val="14"/>
        <w:spacing w:line="360" w:lineRule="auto"/>
        <w:ind w:firstLine="480" w:firstLineChars="200"/>
        <w:rPr>
          <w:rFonts w:ascii="仿宋" w:hAnsi="仿宋" w:eastAsia="仿宋"/>
          <w:bCs/>
          <w:sz w:val="24"/>
          <w:szCs w:val="24"/>
        </w:rPr>
      </w:pPr>
      <w:r>
        <w:rPr>
          <w:rFonts w:ascii="仿宋" w:hAnsi="仿宋" w:eastAsia="仿宋"/>
          <w:sz w:val="24"/>
          <w:szCs w:val="24"/>
        </w:rPr>
        <w:t>4.1、</w:t>
      </w:r>
      <w:r>
        <w:rPr>
          <w:rFonts w:ascii="仿宋" w:hAnsi="仿宋" w:eastAsia="仿宋"/>
          <w:bCs/>
          <w:sz w:val="24"/>
          <w:szCs w:val="24"/>
        </w:rPr>
        <w:t>供应商响应文件供应商应承担其编制磋商文件以及递交磋商文件所涉及的一切费用。无论投标结果如何，采购人对上述费用不负任何责任。</w:t>
      </w:r>
    </w:p>
    <w:p w14:paraId="526AA3C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 xml:space="preserve"> 5、磋商文件的约束力</w:t>
      </w:r>
    </w:p>
    <w:p w14:paraId="3B2408F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供应商一旦下载了本磋商文件并决定参加磋商，即被认为接受了本磋商文件的规定和约束，并且视为自竞争性磋商公告期限届满之日起已经知道或应当知道自身权益是否受到了损害。</w:t>
      </w:r>
    </w:p>
    <w:p w14:paraId="39E11C0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6、磋商文件的询问及修改</w:t>
      </w:r>
    </w:p>
    <w:p w14:paraId="1C8C117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6.1任何要求对磋商文件进行询问的供应商，均应在</w:t>
      </w:r>
      <w:r>
        <w:rPr>
          <w:rFonts w:hint="eastAsia" w:ascii="仿宋" w:hAnsi="仿宋" w:eastAsia="仿宋"/>
          <w:sz w:val="24"/>
          <w:szCs w:val="24"/>
        </w:rPr>
        <w:t>本</w:t>
      </w:r>
      <w:r>
        <w:rPr>
          <w:rFonts w:ascii="仿宋" w:hAnsi="仿宋" w:eastAsia="仿宋"/>
          <w:sz w:val="24"/>
          <w:szCs w:val="24"/>
        </w:rPr>
        <w:t>磋商文件公告期限届满之日</w:t>
      </w:r>
      <w:r>
        <w:rPr>
          <w:rFonts w:hint="eastAsia" w:ascii="仿宋" w:hAnsi="仿宋" w:eastAsia="仿宋"/>
          <w:sz w:val="24"/>
          <w:szCs w:val="24"/>
        </w:rPr>
        <w:t>内</w:t>
      </w:r>
      <w:r>
        <w:rPr>
          <w:rFonts w:ascii="仿宋" w:hAnsi="仿宋" w:eastAsia="仿宋"/>
          <w:sz w:val="24"/>
          <w:szCs w:val="24"/>
        </w:rPr>
        <w:t>以电子文件形式（不具单位名称）发送至</w:t>
      </w:r>
      <w:r>
        <w:rPr>
          <w:rFonts w:ascii="仿宋" w:hAnsi="仿宋" w:eastAsia="仿宋"/>
          <w:bCs/>
          <w:sz w:val="24"/>
          <w:szCs w:val="24"/>
        </w:rPr>
        <w:t>13862943128@163.com</w:t>
      </w:r>
      <w:r>
        <w:rPr>
          <w:rFonts w:ascii="仿宋" w:hAnsi="仿宋" w:eastAsia="仿宋"/>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hint="eastAsia" w:ascii="仿宋" w:hAnsi="仿宋" w:eastAsia="仿宋"/>
          <w:sz w:val="24"/>
          <w:szCs w:val="24"/>
        </w:rPr>
        <w:t>三</w:t>
      </w:r>
      <w:r>
        <w:rPr>
          <w:rFonts w:ascii="仿宋" w:hAnsi="仿宋" w:eastAsia="仿宋"/>
          <w:sz w:val="24"/>
          <w:szCs w:val="24"/>
        </w:rPr>
        <w:t>日前，在</w:t>
      </w:r>
      <w:r>
        <w:rPr>
          <w:rFonts w:hint="eastAsia" w:ascii="仿宋" w:hAnsi="仿宋" w:eastAsia="仿宋"/>
          <w:sz w:val="24"/>
          <w:szCs w:val="24"/>
          <w:u w:val="single"/>
        </w:rPr>
        <w:t>南通市退役军人事务局</w:t>
      </w:r>
      <w:r>
        <w:rPr>
          <w:rFonts w:hint="eastAsia" w:ascii="仿宋" w:hAnsi="仿宋" w:eastAsia="仿宋"/>
          <w:sz w:val="24"/>
          <w:szCs w:val="24"/>
        </w:rPr>
        <w:t>网上</w:t>
      </w:r>
      <w:r>
        <w:rPr>
          <w:rFonts w:ascii="仿宋" w:hAnsi="仿宋" w:eastAsia="仿宋"/>
          <w:sz w:val="24"/>
          <w:szCs w:val="24"/>
        </w:rPr>
        <w:t>发布书面更正公告形式通知所有获取磋商文件的供应商。不足</w:t>
      </w:r>
      <w:r>
        <w:rPr>
          <w:rFonts w:hint="eastAsia" w:ascii="仿宋" w:hAnsi="仿宋" w:eastAsia="仿宋"/>
          <w:sz w:val="24"/>
          <w:szCs w:val="24"/>
        </w:rPr>
        <w:t>三</w:t>
      </w:r>
      <w:r>
        <w:rPr>
          <w:rFonts w:ascii="仿宋" w:hAnsi="仿宋" w:eastAsia="仿宋"/>
          <w:sz w:val="24"/>
          <w:szCs w:val="24"/>
        </w:rPr>
        <w:t>日的，代理机构应当顺延提交首次响应文件截止时间。</w:t>
      </w:r>
    </w:p>
    <w:p w14:paraId="45A6028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6.2代理机构或采购人可以视采购项目的具体情况，组织供应商进行现场考察或召开磋商前答疑会，但不单独或分别组织只有一个供应商参加的现场考察和答疑会。</w:t>
      </w:r>
    </w:p>
    <w:p w14:paraId="5DE2FFD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7、磋商文件的解释</w:t>
      </w:r>
    </w:p>
    <w:p w14:paraId="6D33E4A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7.1 本磋商文件由代理机构负责解释。</w:t>
      </w:r>
    </w:p>
    <w:p w14:paraId="5A63855C">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二、供应商响应文件的编制</w:t>
      </w:r>
    </w:p>
    <w:p w14:paraId="36263DDD">
      <w:pPr>
        <w:pStyle w:val="14"/>
        <w:spacing w:line="360" w:lineRule="auto"/>
        <w:ind w:firstLine="480" w:firstLineChars="200"/>
        <w:jc w:val="left"/>
        <w:rPr>
          <w:rFonts w:ascii="仿宋" w:hAnsi="仿宋" w:eastAsia="仿宋"/>
          <w:b/>
          <w:bCs/>
          <w:sz w:val="23"/>
          <w:szCs w:val="23"/>
        </w:rPr>
      </w:pPr>
      <w:r>
        <w:rPr>
          <w:rFonts w:ascii="仿宋" w:hAnsi="仿宋" w:eastAsia="仿宋"/>
          <w:sz w:val="24"/>
          <w:szCs w:val="24"/>
        </w:rPr>
        <w:t>1、磋商响应文件内容</w:t>
      </w:r>
    </w:p>
    <w:p w14:paraId="41595FC5">
      <w:pPr>
        <w:pStyle w:val="15"/>
        <w:spacing w:line="360" w:lineRule="auto"/>
        <w:ind w:firstLine="462" w:firstLineChars="200"/>
        <w:rPr>
          <w:rFonts w:ascii="仿宋" w:hAnsi="仿宋" w:eastAsia="仿宋"/>
          <w:kern w:val="0"/>
          <w:sz w:val="24"/>
          <w:szCs w:val="24"/>
        </w:rPr>
      </w:pPr>
      <w:r>
        <w:rPr>
          <w:rFonts w:hint="eastAsia" w:ascii="仿宋" w:hAnsi="仿宋" w:eastAsia="仿宋"/>
          <w:b/>
          <w:bCs/>
          <w:sz w:val="23"/>
          <w:szCs w:val="23"/>
        </w:rPr>
        <w:t>1.1</w:t>
      </w:r>
      <w:r>
        <w:rPr>
          <w:rFonts w:ascii="仿宋" w:hAnsi="仿宋" w:eastAsia="仿宋"/>
          <w:b/>
          <w:bCs/>
          <w:sz w:val="23"/>
          <w:szCs w:val="23"/>
        </w:rPr>
        <w:t>资格审查资料包（可提供一个密封包，一正二副）</w:t>
      </w:r>
    </w:p>
    <w:p w14:paraId="00085F5E">
      <w:pPr>
        <w:pStyle w:val="14"/>
        <w:widowControl/>
        <w:spacing w:line="360" w:lineRule="auto"/>
        <w:ind w:firstLine="460" w:firstLineChars="200"/>
        <w:jc w:val="left"/>
        <w:rPr>
          <w:rFonts w:ascii="仿宋" w:hAnsi="仿宋" w:eastAsia="仿宋"/>
          <w:sz w:val="23"/>
          <w:szCs w:val="23"/>
        </w:rPr>
      </w:pPr>
      <w:r>
        <w:rPr>
          <w:rFonts w:ascii="仿宋" w:hAnsi="仿宋" w:eastAsia="仿宋"/>
          <w:sz w:val="23"/>
          <w:szCs w:val="23"/>
        </w:rPr>
        <w:t>（1）</w:t>
      </w:r>
      <w:r>
        <w:rPr>
          <w:rFonts w:hint="eastAsia" w:ascii="仿宋" w:hAnsi="仿宋" w:eastAsia="仿宋"/>
          <w:sz w:val="23"/>
          <w:szCs w:val="23"/>
        </w:rPr>
        <w:t>供应商符合规定条件的声明函（格式参见第七章）</w:t>
      </w:r>
    </w:p>
    <w:p w14:paraId="03490AC2">
      <w:pPr>
        <w:pStyle w:val="14"/>
        <w:widowControl/>
        <w:spacing w:line="360" w:lineRule="auto"/>
        <w:ind w:firstLine="480" w:firstLineChars="200"/>
        <w:jc w:val="left"/>
        <w:rPr>
          <w:rFonts w:ascii="仿宋" w:hAnsi="仿宋" w:eastAsia="仿宋"/>
          <w:sz w:val="24"/>
          <w:szCs w:val="24"/>
        </w:rPr>
      </w:pPr>
      <w:r>
        <w:rPr>
          <w:rFonts w:hint="eastAsia" w:ascii="仿宋" w:hAnsi="仿宋" w:eastAsia="仿宋" w:cs="仿宋"/>
          <w:bCs/>
          <w:sz w:val="24"/>
          <w:szCs w:val="24"/>
        </w:rPr>
        <w:t>（2）</w:t>
      </w:r>
      <w:r>
        <w:rPr>
          <w:rFonts w:ascii="仿宋" w:hAnsi="仿宋" w:eastAsia="仿宋" w:cs="仿宋"/>
          <w:bCs/>
          <w:sz w:val="24"/>
          <w:szCs w:val="24"/>
        </w:rPr>
        <w:t>法人或者其他组织的营业执照等证明文件，自然人的身份证明</w:t>
      </w:r>
      <w:r>
        <w:rPr>
          <w:rFonts w:ascii="仿宋" w:hAnsi="仿宋" w:eastAsia="仿宋"/>
          <w:kern w:val="0"/>
          <w:sz w:val="24"/>
          <w:szCs w:val="24"/>
        </w:rPr>
        <w:t>（提供复印件并加盖公章）；</w:t>
      </w:r>
    </w:p>
    <w:p w14:paraId="183E82E1">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）法定代表人参加</w:t>
      </w:r>
      <w:r>
        <w:rPr>
          <w:rFonts w:hint="eastAsia" w:ascii="仿宋" w:hAnsi="仿宋" w:eastAsia="仿宋"/>
          <w:sz w:val="24"/>
          <w:szCs w:val="24"/>
        </w:rPr>
        <w:t>磋商</w:t>
      </w:r>
      <w:r>
        <w:rPr>
          <w:rFonts w:ascii="仿宋" w:hAnsi="仿宋" w:eastAsia="仿宋"/>
          <w:sz w:val="24"/>
          <w:szCs w:val="24"/>
        </w:rPr>
        <w:t>的，必须提供法人身份证明原件及本人身份证</w:t>
      </w:r>
      <w:r>
        <w:rPr>
          <w:rFonts w:hint="eastAsia" w:ascii="仿宋" w:hAnsi="仿宋" w:eastAsia="仿宋"/>
          <w:sz w:val="24"/>
          <w:szCs w:val="24"/>
        </w:rPr>
        <w:t>复印</w:t>
      </w:r>
      <w:r>
        <w:rPr>
          <w:rFonts w:ascii="仿宋" w:hAnsi="仿宋" w:eastAsia="仿宋"/>
          <w:sz w:val="24"/>
          <w:szCs w:val="24"/>
        </w:rPr>
        <w:t>件；非法定代表人参加</w:t>
      </w:r>
      <w:r>
        <w:rPr>
          <w:rFonts w:hint="eastAsia" w:ascii="仿宋" w:hAnsi="仿宋" w:eastAsia="仿宋"/>
          <w:sz w:val="24"/>
          <w:szCs w:val="24"/>
        </w:rPr>
        <w:t>磋商</w:t>
      </w:r>
      <w:r>
        <w:rPr>
          <w:rFonts w:ascii="仿宋" w:hAnsi="仿宋" w:eastAsia="仿宋"/>
          <w:sz w:val="24"/>
          <w:szCs w:val="24"/>
        </w:rPr>
        <w:t>的，必须提供法定代表人签名或盖章的授权委托书原件及被委托授权人身份证</w:t>
      </w:r>
      <w:r>
        <w:rPr>
          <w:rFonts w:hint="eastAsia" w:ascii="仿宋" w:hAnsi="仿宋" w:eastAsia="仿宋"/>
          <w:sz w:val="24"/>
          <w:szCs w:val="24"/>
        </w:rPr>
        <w:t>复印件和法定代表人的身份证复印件</w:t>
      </w:r>
      <w:r>
        <w:rPr>
          <w:rFonts w:ascii="仿宋" w:hAnsi="仿宋" w:eastAsia="仿宋"/>
          <w:sz w:val="24"/>
          <w:szCs w:val="24"/>
        </w:rPr>
        <w:t>；</w:t>
      </w:r>
    </w:p>
    <w:p w14:paraId="06F3BE39">
      <w:pPr>
        <w:pStyle w:val="14"/>
        <w:spacing w:line="360" w:lineRule="auto"/>
        <w:ind w:firstLine="480" w:firstLineChars="200"/>
        <w:rPr>
          <w:rFonts w:ascii="仿宋" w:hAnsi="仿宋" w:eastAsia="仿宋"/>
          <w:sz w:val="24"/>
          <w:szCs w:val="24"/>
        </w:rPr>
      </w:pPr>
      <w:r>
        <w:rPr>
          <w:rFonts w:ascii="仿宋" w:hAnsi="仿宋" w:eastAsia="仿宋"/>
          <w:kern w:val="0"/>
          <w:sz w:val="24"/>
          <w:szCs w:val="24"/>
        </w:rPr>
        <w:t>（</w:t>
      </w:r>
      <w:r>
        <w:rPr>
          <w:rFonts w:hint="eastAsia" w:ascii="仿宋" w:hAnsi="仿宋" w:eastAsia="仿宋"/>
          <w:kern w:val="0"/>
          <w:sz w:val="24"/>
          <w:szCs w:val="24"/>
        </w:rPr>
        <w:t>4</w:t>
      </w:r>
      <w:r>
        <w:rPr>
          <w:rFonts w:ascii="仿宋" w:hAnsi="仿宋" w:eastAsia="仿宋"/>
          <w:kern w:val="0"/>
          <w:sz w:val="24"/>
          <w:szCs w:val="24"/>
        </w:rPr>
        <w:t>）</w:t>
      </w:r>
      <w:r>
        <w:rPr>
          <w:rFonts w:ascii="仿宋" w:hAnsi="仿宋" w:eastAsia="仿宋"/>
          <w:sz w:val="24"/>
          <w:szCs w:val="24"/>
        </w:rPr>
        <w:t>供应商响应文件函（格式按第七章）</w:t>
      </w:r>
      <w:r>
        <w:rPr>
          <w:rFonts w:hint="eastAsia" w:ascii="仿宋" w:hAnsi="仿宋" w:eastAsia="仿宋"/>
          <w:sz w:val="24"/>
          <w:szCs w:val="24"/>
        </w:rPr>
        <w:t>。</w:t>
      </w:r>
    </w:p>
    <w:p w14:paraId="2041D0A1">
      <w:pPr>
        <w:pStyle w:val="15"/>
        <w:spacing w:line="360" w:lineRule="auto"/>
        <w:ind w:firstLine="480" w:firstLineChars="200"/>
      </w:pPr>
      <w:r>
        <w:rPr>
          <w:rFonts w:hint="eastAsia" w:ascii="仿宋" w:hAnsi="仿宋" w:eastAsia="仿宋" w:cs="宋体"/>
          <w:sz w:val="24"/>
          <w:szCs w:val="24"/>
        </w:rPr>
        <w:t>（5）响应供应商为三级（或参照三级管理）及以上</w:t>
      </w:r>
      <w:r>
        <w:rPr>
          <w:rFonts w:hint="eastAsia" w:ascii="仿宋" w:hAnsi="仿宋" w:eastAsia="仿宋" w:cs="仿宋"/>
          <w:sz w:val="24"/>
          <w:szCs w:val="24"/>
        </w:rPr>
        <w:t>的</w:t>
      </w:r>
      <w:r>
        <w:rPr>
          <w:rFonts w:hint="eastAsia" w:ascii="仿宋" w:hAnsi="仿宋" w:eastAsia="仿宋" w:cs="宋体"/>
          <w:sz w:val="24"/>
          <w:szCs w:val="24"/>
        </w:rPr>
        <w:t>医疗机构（提供医疗机构执业许可证（副本）及相关证明文件）</w:t>
      </w:r>
    </w:p>
    <w:p w14:paraId="276DF1AD">
      <w:pPr>
        <w:pStyle w:val="15"/>
        <w:spacing w:line="360" w:lineRule="auto"/>
        <w:ind w:firstLine="482" w:firstLineChars="200"/>
        <w:rPr>
          <w:rFonts w:ascii="仿宋" w:hAnsi="仿宋" w:eastAsia="仿宋"/>
          <w:b/>
          <w:sz w:val="24"/>
          <w:szCs w:val="24"/>
        </w:rPr>
      </w:pPr>
      <w:r>
        <w:rPr>
          <w:rFonts w:ascii="仿宋" w:hAnsi="仿宋" w:eastAsia="仿宋"/>
          <w:b/>
          <w:sz w:val="24"/>
          <w:szCs w:val="24"/>
        </w:rPr>
        <w:t>以上未尽之处详见第五章资格审查</w:t>
      </w:r>
    </w:p>
    <w:p w14:paraId="1ED11570">
      <w:pPr>
        <w:pStyle w:val="14"/>
        <w:spacing w:line="360" w:lineRule="auto"/>
        <w:ind w:firstLine="482" w:firstLineChars="200"/>
        <w:rPr>
          <w:rFonts w:ascii="仿宋" w:hAnsi="仿宋" w:eastAsia="仿宋"/>
          <w:b/>
          <w:bCs/>
          <w:kern w:val="0"/>
          <w:sz w:val="24"/>
          <w:szCs w:val="24"/>
        </w:rPr>
      </w:pPr>
      <w:r>
        <w:rPr>
          <w:rFonts w:ascii="仿宋" w:hAnsi="仿宋" w:eastAsia="仿宋"/>
          <w:b/>
          <w:bCs/>
          <w:kern w:val="0"/>
          <w:sz w:val="24"/>
          <w:szCs w:val="24"/>
        </w:rPr>
        <w:t>1</w:t>
      </w:r>
      <w:r>
        <w:rPr>
          <w:rFonts w:hint="eastAsia" w:ascii="仿宋" w:hAnsi="仿宋" w:eastAsia="仿宋"/>
          <w:b/>
          <w:bCs/>
          <w:kern w:val="0"/>
          <w:sz w:val="24"/>
          <w:szCs w:val="24"/>
        </w:rPr>
        <w:t>.2</w:t>
      </w:r>
      <w:r>
        <w:rPr>
          <w:rFonts w:ascii="仿宋" w:hAnsi="仿宋" w:eastAsia="仿宋"/>
          <w:b/>
          <w:bCs/>
          <w:kern w:val="0"/>
          <w:sz w:val="24"/>
          <w:szCs w:val="24"/>
        </w:rPr>
        <w:t xml:space="preserve">  技术标（可提供一个密封包，一正二副）</w:t>
      </w:r>
    </w:p>
    <w:p w14:paraId="376017AC">
      <w:pPr>
        <w:pStyle w:val="14"/>
        <w:spacing w:line="360" w:lineRule="auto"/>
        <w:ind w:firstLine="482" w:firstLineChars="200"/>
        <w:rPr>
          <w:rFonts w:ascii="仿宋" w:hAnsi="仿宋" w:eastAsia="仿宋"/>
          <w:b/>
          <w:bCs/>
          <w:kern w:val="0"/>
          <w:sz w:val="24"/>
          <w:szCs w:val="24"/>
        </w:rPr>
      </w:pPr>
      <w:r>
        <w:rPr>
          <w:rFonts w:ascii="仿宋" w:hAnsi="仿宋" w:eastAsia="仿宋"/>
          <w:b/>
          <w:bCs/>
          <w:kern w:val="0"/>
          <w:sz w:val="24"/>
          <w:szCs w:val="24"/>
        </w:rPr>
        <w:t>（1）封面</w:t>
      </w:r>
    </w:p>
    <w:p w14:paraId="3E2839DA">
      <w:pPr>
        <w:pStyle w:val="14"/>
        <w:spacing w:line="360" w:lineRule="auto"/>
        <w:ind w:firstLine="482" w:firstLineChars="200"/>
        <w:rPr>
          <w:rFonts w:ascii="仿宋" w:hAnsi="仿宋" w:eastAsia="仿宋"/>
          <w:b/>
          <w:bCs/>
          <w:kern w:val="0"/>
          <w:sz w:val="24"/>
          <w:szCs w:val="24"/>
        </w:rPr>
      </w:pPr>
      <w:r>
        <w:rPr>
          <w:rFonts w:ascii="仿宋" w:hAnsi="仿宋" w:eastAsia="仿宋"/>
          <w:b/>
          <w:bCs/>
          <w:kern w:val="0"/>
          <w:sz w:val="24"/>
          <w:szCs w:val="24"/>
        </w:rPr>
        <w:t>（2）投标响应函</w:t>
      </w:r>
    </w:p>
    <w:p w14:paraId="3615FAAC">
      <w:pPr>
        <w:pStyle w:val="14"/>
        <w:spacing w:line="360" w:lineRule="auto"/>
        <w:ind w:firstLine="482" w:firstLineChars="200"/>
        <w:jc w:val="left"/>
        <w:rPr>
          <w:rFonts w:ascii="仿宋" w:hAnsi="仿宋" w:eastAsia="仿宋"/>
          <w:b/>
          <w:bCs/>
          <w:kern w:val="0"/>
          <w:sz w:val="24"/>
          <w:szCs w:val="24"/>
        </w:rPr>
      </w:pPr>
      <w:r>
        <w:rPr>
          <w:rFonts w:ascii="仿宋" w:hAnsi="仿宋" w:eastAsia="仿宋"/>
          <w:b/>
          <w:bCs/>
          <w:kern w:val="0"/>
          <w:sz w:val="24"/>
          <w:szCs w:val="24"/>
        </w:rPr>
        <w:t>（3）根据第六章“评标办法”2.2.2 条款技术标的评审因素及评审标准提供相关投标资料。</w:t>
      </w:r>
    </w:p>
    <w:p w14:paraId="743FFA48">
      <w:pPr>
        <w:pStyle w:val="15"/>
        <w:spacing w:line="360" w:lineRule="auto"/>
        <w:ind w:firstLine="482" w:firstLineChars="200"/>
        <w:rPr>
          <w:rFonts w:ascii="仿宋" w:hAnsi="仿宋" w:eastAsia="仿宋"/>
          <w:b/>
          <w:bCs/>
          <w:kern w:val="0"/>
          <w:sz w:val="24"/>
          <w:szCs w:val="24"/>
        </w:rPr>
      </w:pPr>
      <w:r>
        <w:rPr>
          <w:rFonts w:ascii="仿宋" w:hAnsi="仿宋" w:eastAsia="仿宋"/>
          <w:b/>
          <w:bCs/>
          <w:kern w:val="0"/>
          <w:sz w:val="24"/>
          <w:szCs w:val="24"/>
        </w:rPr>
        <w:t>（4）商务技术条款响应一览表</w:t>
      </w:r>
    </w:p>
    <w:p w14:paraId="2CCECEE4">
      <w:pPr>
        <w:pStyle w:val="14"/>
        <w:spacing w:line="360" w:lineRule="auto"/>
        <w:ind w:firstLine="482" w:firstLineChars="200"/>
        <w:rPr>
          <w:rFonts w:ascii="仿宋" w:hAnsi="仿宋" w:eastAsia="仿宋"/>
          <w:b/>
          <w:bCs/>
          <w:sz w:val="24"/>
          <w:szCs w:val="24"/>
        </w:rPr>
      </w:pPr>
      <w:r>
        <w:rPr>
          <w:rFonts w:ascii="仿宋" w:hAnsi="仿宋" w:eastAsia="仿宋"/>
          <w:b/>
          <w:bCs/>
          <w:sz w:val="24"/>
          <w:szCs w:val="24"/>
        </w:rPr>
        <w:t>（5）</w:t>
      </w:r>
      <w:r>
        <w:rPr>
          <w:rFonts w:hint="eastAsia" w:ascii="仿宋" w:hAnsi="仿宋" w:eastAsia="仿宋"/>
          <w:b/>
          <w:bCs/>
          <w:sz w:val="24"/>
          <w:szCs w:val="24"/>
        </w:rPr>
        <w:t>响应供应商</w:t>
      </w:r>
      <w:r>
        <w:rPr>
          <w:rFonts w:ascii="仿宋" w:hAnsi="仿宋" w:eastAsia="仿宋"/>
          <w:b/>
          <w:bCs/>
          <w:sz w:val="24"/>
          <w:szCs w:val="24"/>
        </w:rPr>
        <w:t>认为需要提交的其他资料。</w:t>
      </w:r>
    </w:p>
    <w:p w14:paraId="2304D774">
      <w:pPr>
        <w:pStyle w:val="14"/>
        <w:spacing w:line="360" w:lineRule="auto"/>
        <w:ind w:firstLine="480" w:firstLineChars="200"/>
        <w:jc w:val="left"/>
        <w:rPr>
          <w:rFonts w:ascii="仿宋" w:hAnsi="仿宋" w:eastAsia="仿宋"/>
          <w:sz w:val="24"/>
          <w:szCs w:val="24"/>
        </w:rPr>
      </w:pPr>
      <w:r>
        <w:rPr>
          <w:rFonts w:ascii="仿宋" w:hAnsi="仿宋" w:eastAsia="仿宋"/>
          <w:kern w:val="0"/>
          <w:sz w:val="24"/>
          <w:szCs w:val="24"/>
        </w:rPr>
        <w:t>注明：各</w:t>
      </w:r>
      <w:r>
        <w:rPr>
          <w:rFonts w:hint="eastAsia" w:ascii="仿宋" w:hAnsi="仿宋" w:eastAsia="仿宋"/>
          <w:kern w:val="0"/>
          <w:sz w:val="24"/>
          <w:szCs w:val="24"/>
        </w:rPr>
        <w:t>响应供应商</w:t>
      </w:r>
      <w:r>
        <w:rPr>
          <w:rFonts w:ascii="仿宋" w:hAnsi="仿宋" w:eastAsia="仿宋"/>
          <w:kern w:val="0"/>
          <w:sz w:val="24"/>
          <w:szCs w:val="24"/>
        </w:rPr>
        <w:t>根据本项目技术标文件目录中的内容按顺序编制目录和页码范围（以</w:t>
      </w:r>
      <w:r>
        <w:rPr>
          <w:rFonts w:ascii="仿宋" w:hAnsi="仿宋" w:eastAsia="仿宋"/>
          <w:sz w:val="24"/>
          <w:szCs w:val="24"/>
        </w:rPr>
        <w:t>上条款的具体内容及要求请按照本磋商文件第六章“评标办法”2.2.2 条款技术标的评审因素及评审标准提供相关投标资料），以上条款中相关所有证明材料或证书需提供复印件并加盖单位公章。</w:t>
      </w:r>
    </w:p>
    <w:p w14:paraId="419BD3CE">
      <w:pPr>
        <w:pStyle w:val="14"/>
        <w:spacing w:line="360" w:lineRule="auto"/>
        <w:ind w:firstLine="482" w:firstLineChars="200"/>
        <w:rPr>
          <w:rFonts w:ascii="仿宋" w:hAnsi="仿宋" w:eastAsia="仿宋"/>
          <w:b/>
          <w:bCs/>
          <w:kern w:val="0"/>
          <w:sz w:val="24"/>
          <w:szCs w:val="24"/>
        </w:rPr>
      </w:pPr>
      <w:r>
        <w:rPr>
          <w:rFonts w:ascii="仿宋" w:hAnsi="仿宋" w:eastAsia="仿宋"/>
          <w:b/>
          <w:bCs/>
          <w:kern w:val="0"/>
          <w:sz w:val="24"/>
          <w:szCs w:val="24"/>
        </w:rPr>
        <w:t>1.</w:t>
      </w:r>
      <w:r>
        <w:rPr>
          <w:rFonts w:hint="eastAsia" w:ascii="仿宋" w:hAnsi="仿宋" w:eastAsia="仿宋"/>
          <w:b/>
          <w:bCs/>
          <w:kern w:val="0"/>
          <w:sz w:val="24"/>
          <w:szCs w:val="24"/>
        </w:rPr>
        <w:t>3</w:t>
      </w:r>
      <w:r>
        <w:rPr>
          <w:rFonts w:ascii="仿宋" w:hAnsi="仿宋" w:eastAsia="仿宋"/>
          <w:b/>
          <w:bCs/>
          <w:kern w:val="0"/>
          <w:sz w:val="24"/>
          <w:szCs w:val="24"/>
        </w:rPr>
        <w:t>报价标包（需提供一个密封包，一正二副）</w:t>
      </w:r>
    </w:p>
    <w:p w14:paraId="53A06026">
      <w:pPr>
        <w:pStyle w:val="14"/>
        <w:spacing w:line="360" w:lineRule="auto"/>
        <w:ind w:firstLine="480" w:firstLineChars="200"/>
        <w:rPr>
          <w:rFonts w:ascii="仿宋" w:hAnsi="仿宋" w:eastAsia="仿宋"/>
          <w:sz w:val="24"/>
          <w:szCs w:val="24"/>
        </w:rPr>
      </w:pPr>
      <w:r>
        <w:rPr>
          <w:rFonts w:ascii="仿宋" w:hAnsi="仿宋" w:eastAsia="仿宋"/>
          <w:sz w:val="24"/>
          <w:szCs w:val="24"/>
        </w:rPr>
        <w:t>（1）封面</w:t>
      </w:r>
    </w:p>
    <w:p w14:paraId="7D651CA9">
      <w:pPr>
        <w:pStyle w:val="14"/>
        <w:spacing w:line="360" w:lineRule="auto"/>
        <w:ind w:firstLine="480" w:firstLineChars="200"/>
        <w:rPr>
          <w:rFonts w:ascii="仿宋" w:hAnsi="仿宋" w:eastAsia="仿宋"/>
          <w:sz w:val="24"/>
          <w:szCs w:val="24"/>
        </w:rPr>
      </w:pPr>
      <w:r>
        <w:rPr>
          <w:rFonts w:ascii="仿宋" w:hAnsi="仿宋" w:eastAsia="仿宋"/>
          <w:sz w:val="24"/>
          <w:szCs w:val="24"/>
        </w:rPr>
        <w:t>（2）供应商响应文件报价表（第一次磋商报价）</w:t>
      </w:r>
    </w:p>
    <w:p w14:paraId="73113421">
      <w:pPr>
        <w:pStyle w:val="14"/>
        <w:spacing w:line="360" w:lineRule="auto"/>
        <w:ind w:firstLine="480" w:firstLineChars="200"/>
        <w:rPr>
          <w:rFonts w:ascii="仿宋" w:hAnsi="仿宋" w:eastAsia="仿宋"/>
          <w:sz w:val="24"/>
          <w:szCs w:val="24"/>
        </w:rPr>
      </w:pPr>
      <w:r>
        <w:rPr>
          <w:rFonts w:ascii="仿宋" w:hAnsi="仿宋" w:eastAsia="仿宋"/>
          <w:sz w:val="24"/>
          <w:szCs w:val="24"/>
        </w:rPr>
        <w:t>（3）供应商响应文件报价表（最终）</w:t>
      </w:r>
    </w:p>
    <w:p w14:paraId="592BA3C0">
      <w:pPr>
        <w:pStyle w:val="15"/>
        <w:spacing w:line="360" w:lineRule="auto"/>
        <w:ind w:firstLine="480" w:firstLineChars="200"/>
        <w:rPr>
          <w:rFonts w:ascii="仿宋" w:hAnsi="仿宋" w:eastAsia="仿宋"/>
          <w:sz w:val="24"/>
          <w:szCs w:val="24"/>
        </w:rPr>
      </w:pPr>
      <w:r>
        <w:rPr>
          <w:rFonts w:ascii="仿宋" w:hAnsi="仿宋" w:eastAsia="仿宋"/>
          <w:sz w:val="24"/>
          <w:szCs w:val="24"/>
        </w:rPr>
        <w:t>注明：供应商响应文件报价表（最终），此表投标报价请空着，在开标现场填写，需提前加盖公章。</w:t>
      </w:r>
    </w:p>
    <w:p w14:paraId="663EA15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2、磋商报价</w:t>
      </w:r>
    </w:p>
    <w:p w14:paraId="4B137045">
      <w:pPr>
        <w:spacing w:line="360" w:lineRule="auto"/>
        <w:ind w:firstLine="480" w:firstLineChars="200"/>
        <w:rPr>
          <w:rFonts w:ascii="仿宋" w:hAnsi="仿宋" w:eastAsia="仿宋"/>
        </w:rPr>
      </w:pPr>
      <w:r>
        <w:rPr>
          <w:rFonts w:ascii="仿宋" w:hAnsi="仿宋" w:eastAsia="仿宋"/>
          <w:sz w:val="24"/>
          <w:szCs w:val="24"/>
        </w:rPr>
        <w:t>2.1参加磋商的供应商应按照磋商文件规定格式填报供应商响应文件报价表，在表内响应单位的报价应</w:t>
      </w:r>
      <w:r>
        <w:rPr>
          <w:rFonts w:ascii="仿宋" w:hAnsi="仿宋" w:eastAsia="仿宋" w:cs="宋体"/>
          <w:sz w:val="23"/>
          <w:szCs w:val="23"/>
        </w:rPr>
        <w:t>包括但不限于</w:t>
      </w:r>
      <w:r>
        <w:rPr>
          <w:rFonts w:hint="eastAsia" w:ascii="仿宋" w:hAnsi="仿宋" w:eastAsia="仿宋"/>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Pr>
          <w:rFonts w:ascii="仿宋" w:hAnsi="仿宋" w:eastAsia="仿宋" w:cs="宋体"/>
          <w:sz w:val="23"/>
          <w:szCs w:val="23"/>
        </w:rPr>
        <w:t>即招标物服务周期结束前的所有费用且包含响应磋商文件采购要求的所有费用。</w:t>
      </w:r>
    </w:p>
    <w:p w14:paraId="143902AD">
      <w:pPr>
        <w:pStyle w:val="14"/>
        <w:spacing w:line="360" w:lineRule="auto"/>
        <w:ind w:firstLine="480" w:firstLineChars="200"/>
        <w:rPr>
          <w:rFonts w:ascii="仿宋" w:hAnsi="仿宋" w:eastAsia="仿宋"/>
          <w:sz w:val="24"/>
          <w:szCs w:val="24"/>
        </w:rPr>
      </w:pPr>
      <w:r>
        <w:rPr>
          <w:rFonts w:ascii="仿宋" w:hAnsi="仿宋" w:eastAsia="仿宋"/>
          <w:sz w:val="24"/>
          <w:szCs w:val="24"/>
        </w:rPr>
        <w:t>2.2标的物</w:t>
      </w:r>
    </w:p>
    <w:p w14:paraId="2058E32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详见项目工作内容和技术要求。</w:t>
      </w:r>
    </w:p>
    <w:p w14:paraId="6F09C8DC">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2.3有关费用处理</w:t>
      </w:r>
    </w:p>
    <w:p w14:paraId="2682409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本次采购磋商供应商的总报价应包括完成本次招标范围内全部工作内容所需的所有费用。</w:t>
      </w:r>
    </w:p>
    <w:p w14:paraId="65DD8C25">
      <w:pPr>
        <w:pStyle w:val="14"/>
        <w:spacing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磋商最终报价应是固定不变的，不得以任何理由予以变更。任何可变的或者附有条件的响应报价，采购人均将予以拒绝。</w:t>
      </w:r>
    </w:p>
    <w:p w14:paraId="322306B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2）最低响应报价不能作为本次招标采购的成交保证。</w:t>
      </w:r>
    </w:p>
    <w:p w14:paraId="018A296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2.4其它费用处理</w:t>
      </w:r>
    </w:p>
    <w:p w14:paraId="552747D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磋商文件未列明，而磋商供应商认为必须的费用也须列入报价。</w:t>
      </w:r>
    </w:p>
    <w:p w14:paraId="5A2C229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2.5报价采用的货币</w:t>
      </w:r>
    </w:p>
    <w:p w14:paraId="50F96A8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响应文件中的单价和总价，无特殊规定的采用人民币报价，以元为单位标注。磋商文件中另有规定的按规定执行。</w:t>
      </w:r>
    </w:p>
    <w:p w14:paraId="328026F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2.6 供应商响应文件报价表上的价格应按磋商文件规定填写。</w:t>
      </w:r>
    </w:p>
    <w:p w14:paraId="1ADFCE28">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3、项目工作内容和技术要求响应方案</w:t>
      </w:r>
    </w:p>
    <w:p w14:paraId="4D170E6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3.1提供为完成本项目的总体实施方案。</w:t>
      </w:r>
    </w:p>
    <w:p w14:paraId="5CAB11A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3.2对磋商文件中项目工作内容和技术要求的技术与商务条款要求逐项作出应答，并提供依据或说明。</w:t>
      </w:r>
    </w:p>
    <w:p w14:paraId="34356D3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3.3磋商供应商认为需要的其他技术文件或说明。</w:t>
      </w:r>
    </w:p>
    <w:p w14:paraId="7A7F85F0">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三、纸质磋商供应商响应文件的递交</w:t>
      </w:r>
    </w:p>
    <w:p w14:paraId="2529C93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1、响应文件的密封和标记</w:t>
      </w:r>
    </w:p>
    <w:p w14:paraId="0A97E095">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1.1磋商供应商应严格按照磋商文件要求的份数准备响应文件，每份响应文件须清楚地标明“正本”或“副本”字样。磋商供应商应将“资格审查资料包”、“技术标包”、“报价标包”内的所有材料及复印件，须加盖本项目响应单位的公章并装订成册，各一份“正本”，二份“副本”，以便在评审时，供评委检查及提供留存，原件带至开标现场备查。</w:t>
      </w:r>
    </w:p>
    <w:p w14:paraId="652EC57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1.2密封的响应文件应：</w:t>
      </w:r>
    </w:p>
    <w:p w14:paraId="7C90128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（1）按采购邀请中注明的地址送达规定地点；</w:t>
      </w:r>
    </w:p>
    <w:p w14:paraId="77C26C5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（2）注明参加磋商项目名称、磋商文件编号及参加的分包号；</w:t>
      </w:r>
    </w:p>
    <w:p w14:paraId="2ABE90B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（3）密包装上应写明磋商供应商名称</w:t>
      </w:r>
      <w:r>
        <w:rPr>
          <w:rFonts w:hint="eastAsia" w:ascii="仿宋" w:hAnsi="仿宋" w:eastAsia="仿宋"/>
          <w:sz w:val="24"/>
          <w:szCs w:val="24"/>
        </w:rPr>
        <w:t>并加盖供应商公章</w:t>
      </w:r>
      <w:r>
        <w:rPr>
          <w:rFonts w:ascii="仿宋" w:hAnsi="仿宋" w:eastAsia="仿宋"/>
          <w:sz w:val="24"/>
          <w:szCs w:val="24"/>
        </w:rPr>
        <w:t>。</w:t>
      </w:r>
    </w:p>
    <w:p w14:paraId="424ECFC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1.3如果密封包装未按要求密封和加写标记，代理机构对误投或过早启封概不负责。对由此造成提前开封的响应文件，代理机构将予以拒绝，作无效响应处理。</w:t>
      </w:r>
    </w:p>
    <w:p w14:paraId="2866F15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2、响应文件开启时间</w:t>
      </w:r>
    </w:p>
    <w:p w14:paraId="6E2620D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2.1代理机构收到响应文件的时间不得迟于本磋商文件规定的响应文件接收截止时间。</w:t>
      </w:r>
    </w:p>
    <w:p w14:paraId="3F4BDD4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14:paraId="1FDCC90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3、迟交的响应文件</w:t>
      </w:r>
    </w:p>
    <w:p w14:paraId="64645A9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3.1代理机构将拒绝在规定的响应文件接收截止时间后接收任何响应文件。</w:t>
      </w:r>
    </w:p>
    <w:p w14:paraId="1F1BB81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4、响应文件的修改和撤回</w:t>
      </w:r>
    </w:p>
    <w:p w14:paraId="65192E1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4.1磋商供应商在递交响应文件后，可以修改或撤回其磋商响应文件，但这种修改和撤回，必须在规定的响应文件接收截止时间前，以书面形式送达指定地点。</w:t>
      </w:r>
    </w:p>
    <w:p w14:paraId="247C242E">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4.2磋商供应商的修改或撤回通知书，应按本文件规定进行编制、密封、标记和发送，并应在封套上加注“修改”和“撤回”字样。</w:t>
      </w:r>
    </w:p>
    <w:p w14:paraId="7661772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4.3 磋商供应商在提交最后报价之前，可以根据磋商情况退出磋商。</w:t>
      </w:r>
    </w:p>
    <w:p w14:paraId="24A528F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5、磋商响应有效期</w:t>
      </w:r>
    </w:p>
    <w:p w14:paraId="0DEA4F4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5.1 磋商响应有效期为代理机构规定的响应文件接收截止时间后六十（60）天。磋商响应有效期比规定短的将被视为非实质性响应性而予以拒绝。</w:t>
      </w:r>
    </w:p>
    <w:p w14:paraId="6F76995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14:paraId="50E44B65">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四、磋商与评审</w:t>
      </w:r>
    </w:p>
    <w:p w14:paraId="18A78BD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1、磋商仪式</w:t>
      </w:r>
    </w:p>
    <w:p w14:paraId="12F4EAEE">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1.1代理机构将在采购邀请中规定的时间和地点组织磋商开始仪式，仪式由代理机构主持，磋商供应商应委派携带有效证件的代表准时参加，参加仪式的代表需签名以证明其出席。</w:t>
      </w:r>
    </w:p>
    <w:p w14:paraId="738129E8">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2、磋商小组</w:t>
      </w:r>
    </w:p>
    <w:p w14:paraId="72FC2278">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2.1 磋商开始仪式结束后，代理机构将立即组织磋商小组进行评审。</w:t>
      </w:r>
    </w:p>
    <w:p w14:paraId="12DB953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2.2 磋商小组由采购评审专家、采购人代表组成。</w:t>
      </w:r>
    </w:p>
    <w:p w14:paraId="661DFDC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3、磋商评审过程的保密与公正</w:t>
      </w:r>
    </w:p>
    <w:p w14:paraId="19BE6E0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3.1磋商小组、采购人和代理机构工作人员、相关监督人员等与评审工作有关的人员，对评审情况以及在评审过程中获悉的国家秘密、商业秘密负有保密责任。</w:t>
      </w:r>
    </w:p>
    <w:p w14:paraId="22E56A7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3.2在磋商评审过程中，磋商供应商不得以任何行为影响磋商评审过程，否则其响应文件将被作为无效响应文件。</w:t>
      </w:r>
    </w:p>
    <w:p w14:paraId="292134FC">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CE104B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4、评审过程的澄清、说明和更正</w:t>
      </w:r>
    </w:p>
    <w:p w14:paraId="09D5268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A7425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38C9353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4.3 接到磋商小组澄清要求的供应商如未按规定做出澄清，其风险由供应商自行承担。</w:t>
      </w:r>
    </w:p>
    <w:p w14:paraId="7FB104D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5、对响应文件的初审</w:t>
      </w:r>
    </w:p>
    <w:p w14:paraId="372EFD1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5.1响应文件初审分为资格性检查和符合性检查。</w:t>
      </w:r>
    </w:p>
    <w:p w14:paraId="147F8435">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资格性检查：依据法律法规和磋商文件的规定，对响应文件中的资格证明文件进行审查，以确定供应商是否具备参加磋商的资格。</w:t>
      </w:r>
    </w:p>
    <w:p w14:paraId="5BDEC01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符合性检查：依据磋商文件的规定，从响应文件的有效性、完整性和对磋商文件的响应程度进行审查，以确定是否对磋商文件的实质性要求作出响应。</w:t>
      </w:r>
    </w:p>
    <w:p w14:paraId="07F9B5D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5.2在正式磋商之前，磋商小组将首先审查每份响应文件是否实质性响应了磋商文件的要求。实质性响应的响应文件应该是与磋商文件要求的条款、条件和规格相符，没有重大偏离或保留。</w:t>
      </w:r>
    </w:p>
    <w:p w14:paraId="366C5AE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19EC84C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5.3 被认定为未实质性响应磋商文件的响应文件的情形</w:t>
      </w:r>
    </w:p>
    <w:p w14:paraId="4C1B91B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（1）未按照磋商文件规定要求密封、签署、盖章的；</w:t>
      </w:r>
    </w:p>
    <w:p w14:paraId="093EE58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（2）未完整上传供应商响应文件电子文档的,或上传的文件打不开的（如有）；</w:t>
      </w:r>
    </w:p>
    <w:p w14:paraId="6ACC6A4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（3）供应商不具备磋商文件规定的资格要求的；</w:t>
      </w:r>
    </w:p>
    <w:p w14:paraId="58ED0BB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（4）报价超过磋商文件中规定的预算金或最高限价的；</w:t>
      </w:r>
    </w:p>
    <w:p w14:paraId="4D0A1CE5">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（5）响应文件含有采购人不能接受的附加条件的；</w:t>
      </w:r>
    </w:p>
    <w:p w14:paraId="3C283DF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（6）不符合法律、法规和磋商文件中规定的其他实质性要求和条件的；</w:t>
      </w:r>
    </w:p>
    <w:p w14:paraId="378750E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（7）出现影响采购公正的违法违纪行为的；</w:t>
      </w:r>
    </w:p>
    <w:p w14:paraId="5009624E">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（8）其他法律、法规及本磋商文件规定的属未实质性响应的响应文件的情形。</w:t>
      </w:r>
    </w:p>
    <w:p w14:paraId="2D3C474C">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5.4 未实质性响应磋商文件的响应文件按无效响应处理，磋商小组将予以拒绝，供应商不得通过修改或撤销不合要求的偏离或保留而使其响应文件成为实质性响应的文件。</w:t>
      </w:r>
    </w:p>
    <w:p w14:paraId="4FA6B47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6、磋商程序及评审方法和标准</w:t>
      </w:r>
    </w:p>
    <w:p w14:paraId="28B266A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6.1磋商程序</w:t>
      </w:r>
    </w:p>
    <w:p w14:paraId="5ED60B6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6.1.1 对于通过资格性和符合性审查的供应商，磋商小组所有成员将集中与单一供应商分别进行磋商。</w:t>
      </w:r>
    </w:p>
    <w:p w14:paraId="42FBB49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53F7AD97">
      <w:pPr>
        <w:pStyle w:val="14"/>
        <w:spacing w:line="360" w:lineRule="auto"/>
        <w:ind w:firstLine="480" w:firstLineChars="200"/>
        <w:rPr>
          <w:rFonts w:ascii="仿宋" w:hAnsi="仿宋" w:eastAsia="仿宋"/>
          <w:sz w:val="24"/>
          <w:szCs w:val="24"/>
        </w:rPr>
      </w:pPr>
      <w:r>
        <w:rPr>
          <w:rFonts w:ascii="仿宋" w:hAnsi="仿宋" w:eastAsia="仿宋"/>
          <w:sz w:val="24"/>
          <w:szCs w:val="24"/>
        </w:rPr>
        <w:t>6.1.2磋商文件能够详细列明采购标的的技术、服务要求的，磋商结束后，磋商小组将要求所有实质性响应的供应商在规定时间内提交最后报价。</w:t>
      </w:r>
    </w:p>
    <w:p w14:paraId="6D1E7391">
      <w:pPr>
        <w:pStyle w:val="14"/>
        <w:spacing w:line="360" w:lineRule="auto"/>
        <w:ind w:firstLine="480" w:firstLineChars="200"/>
        <w:rPr>
          <w:rFonts w:ascii="仿宋" w:hAnsi="仿宋" w:eastAsia="仿宋"/>
          <w:sz w:val="24"/>
          <w:szCs w:val="24"/>
        </w:rPr>
      </w:pPr>
      <w:r>
        <w:rPr>
          <w:rFonts w:ascii="仿宋" w:hAnsi="仿宋" w:eastAsia="仿宋"/>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14:paraId="23D01EC8">
      <w:pPr>
        <w:pStyle w:val="14"/>
        <w:spacing w:line="360" w:lineRule="auto"/>
        <w:ind w:firstLine="480" w:firstLineChars="200"/>
        <w:rPr>
          <w:rFonts w:ascii="仿宋" w:hAnsi="仿宋" w:eastAsia="仿宋"/>
          <w:sz w:val="24"/>
          <w:szCs w:val="24"/>
        </w:rPr>
      </w:pPr>
      <w:r>
        <w:rPr>
          <w:rFonts w:ascii="仿宋" w:hAnsi="仿宋" w:eastAsia="仿宋"/>
          <w:sz w:val="24"/>
          <w:szCs w:val="24"/>
        </w:rPr>
        <w:t>最后报价是供应商响应文件的有效组成部分。</w:t>
      </w:r>
    </w:p>
    <w:p w14:paraId="28BF30A8">
      <w:pPr>
        <w:pStyle w:val="14"/>
        <w:spacing w:line="360" w:lineRule="auto"/>
        <w:ind w:firstLine="480" w:firstLineChars="200"/>
        <w:rPr>
          <w:rFonts w:ascii="仿宋" w:hAnsi="仿宋" w:eastAsia="仿宋"/>
          <w:sz w:val="24"/>
          <w:szCs w:val="24"/>
        </w:rPr>
      </w:pPr>
      <w:r>
        <w:rPr>
          <w:rFonts w:ascii="仿宋" w:hAnsi="仿宋" w:eastAsia="仿宋"/>
          <w:sz w:val="24"/>
          <w:szCs w:val="24"/>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14:paraId="652C58C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6.2 评审方法和标准</w:t>
      </w:r>
    </w:p>
    <w:p w14:paraId="41538C3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6.2.1评审方法。经磋商确定最终采购需求和提交最后报价的供应商后，由磋商小组采用综合评分法对提交最后报价的供应商的响应文件和最后报价进行综合评分。</w:t>
      </w:r>
    </w:p>
    <w:p w14:paraId="6BC82B0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2045D53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6.2.2评审标准</w:t>
      </w:r>
    </w:p>
    <w:p w14:paraId="7283A93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见本磋商文件第六章规定。</w:t>
      </w:r>
    </w:p>
    <w:p w14:paraId="1C04FEB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6.3采购活动终止的情况</w:t>
      </w:r>
    </w:p>
    <w:p w14:paraId="156EBED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出现下列情形之一的，本次竞争性磋商采购活动将被终止：</w:t>
      </w:r>
    </w:p>
    <w:p w14:paraId="76457838">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（1）因情况变化，不再符合规定的竞争性磋商采购方式适用情形的；</w:t>
      </w:r>
    </w:p>
    <w:p w14:paraId="4672006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（2）出现影响采购公正的违法、违规行为的；</w:t>
      </w:r>
    </w:p>
    <w:p w14:paraId="4ABF2829">
      <w:pPr>
        <w:pStyle w:val="14"/>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lang w:val="en-US" w:eastAsia="zh-CN"/>
        </w:rPr>
        <w:t>7、</w:t>
      </w:r>
      <w:r>
        <w:rPr>
          <w:rFonts w:ascii="仿宋" w:hAnsi="仿宋" w:eastAsia="仿宋" w:cs="Times New Roman"/>
          <w:sz w:val="24"/>
          <w:szCs w:val="24"/>
        </w:rPr>
        <w:t>变更为其他方式采购的情形处理</w:t>
      </w:r>
    </w:p>
    <w:p w14:paraId="7E132EC1">
      <w:pPr>
        <w:pStyle w:val="14"/>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依据</w:t>
      </w:r>
      <w:r>
        <w:rPr>
          <w:rFonts w:hint="eastAsia" w:ascii="仿宋" w:hAnsi="仿宋" w:eastAsia="仿宋" w:cs="Times New Roman"/>
          <w:sz w:val="24"/>
          <w:szCs w:val="24"/>
        </w:rPr>
        <w:t>相关</w:t>
      </w:r>
      <w:r>
        <w:rPr>
          <w:rFonts w:ascii="仿宋" w:hAnsi="仿宋" w:eastAsia="仿宋" w:cs="Times New Roman"/>
          <w:sz w:val="24"/>
          <w:szCs w:val="24"/>
        </w:rPr>
        <w:t>规定：</w:t>
      </w:r>
      <w:r>
        <w:rPr>
          <w:rFonts w:hint="eastAsia" w:ascii="仿宋" w:hAnsi="仿宋" w:eastAsia="仿宋" w:cs="Times New Roman"/>
          <w:sz w:val="24"/>
          <w:szCs w:val="24"/>
        </w:rPr>
        <w:t>响应</w:t>
      </w:r>
      <w:r>
        <w:rPr>
          <w:rFonts w:ascii="仿宋" w:hAnsi="仿宋" w:eastAsia="仿宋" w:cs="Times New Roman"/>
          <w:sz w:val="24"/>
          <w:szCs w:val="24"/>
        </w:rPr>
        <w:t>截止后供应商不足3家或者通过资格审查或符合性审查的供应商不足3家的，除采购任务取消情形外，按照以下方式处理：</w:t>
      </w:r>
    </w:p>
    <w:p w14:paraId="1F34767F">
      <w:pPr>
        <w:pStyle w:val="14"/>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ascii="仿宋" w:hAnsi="仿宋" w:eastAsia="仿宋" w:cs="Times New Roman"/>
          <w:sz w:val="24"/>
          <w:szCs w:val="24"/>
        </w:rPr>
        <w:t>存在不合理条款或者</w:t>
      </w:r>
      <w:r>
        <w:rPr>
          <w:rFonts w:hint="eastAsia" w:ascii="仿宋" w:hAnsi="仿宋" w:eastAsia="仿宋" w:cs="Times New Roman"/>
          <w:sz w:val="24"/>
          <w:szCs w:val="24"/>
        </w:rPr>
        <w:t>采购</w:t>
      </w:r>
      <w:r>
        <w:rPr>
          <w:rFonts w:ascii="仿宋" w:hAnsi="仿宋" w:eastAsia="仿宋" w:cs="Times New Roman"/>
          <w:sz w:val="24"/>
          <w:szCs w:val="24"/>
        </w:rPr>
        <w:t>程序不符合规定的，采购人、采购代理机构改正后依法重新</w:t>
      </w:r>
      <w:r>
        <w:rPr>
          <w:rFonts w:hint="eastAsia" w:ascii="仿宋" w:hAnsi="仿宋" w:eastAsia="仿宋" w:cs="Times New Roman"/>
          <w:sz w:val="24"/>
          <w:szCs w:val="24"/>
        </w:rPr>
        <w:t>采购</w:t>
      </w:r>
      <w:r>
        <w:rPr>
          <w:rFonts w:ascii="仿宋" w:hAnsi="仿宋" w:eastAsia="仿宋" w:cs="Times New Roman"/>
          <w:sz w:val="24"/>
          <w:szCs w:val="24"/>
        </w:rPr>
        <w:t>；</w:t>
      </w:r>
    </w:p>
    <w:p w14:paraId="6225BFB7">
      <w:pPr>
        <w:pStyle w:val="14"/>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）磋商</w:t>
      </w:r>
      <w:r>
        <w:rPr>
          <w:rFonts w:hint="eastAsia" w:ascii="仿宋" w:hAnsi="仿宋" w:eastAsia="仿宋" w:cs="Times New Roman"/>
          <w:sz w:val="24"/>
          <w:szCs w:val="24"/>
        </w:rPr>
        <w:t>文件没有不合理</w:t>
      </w:r>
      <w:r>
        <w:rPr>
          <w:rFonts w:ascii="仿宋" w:hAnsi="仿宋" w:eastAsia="仿宋" w:cs="Times New Roman"/>
          <w:sz w:val="24"/>
          <w:szCs w:val="24"/>
        </w:rPr>
        <w:t>条款</w:t>
      </w:r>
      <w:r>
        <w:rPr>
          <w:rFonts w:hint="eastAsia" w:ascii="仿宋" w:hAnsi="仿宋" w:eastAsia="仿宋" w:cs="Times New Roman"/>
          <w:sz w:val="24"/>
          <w:szCs w:val="24"/>
        </w:rPr>
        <w:t>、采购</w:t>
      </w:r>
      <w:r>
        <w:rPr>
          <w:rFonts w:ascii="仿宋" w:hAnsi="仿宋" w:eastAsia="仿宋" w:cs="Times New Roman"/>
          <w:sz w:val="24"/>
          <w:szCs w:val="24"/>
        </w:rPr>
        <w:t>程序符合规定</w:t>
      </w:r>
      <w:r>
        <w:rPr>
          <w:rFonts w:hint="eastAsia" w:ascii="仿宋" w:hAnsi="仿宋" w:eastAsia="仿宋" w:cs="Times New Roman"/>
          <w:sz w:val="24"/>
          <w:szCs w:val="24"/>
        </w:rPr>
        <w:t>，再次发布</w:t>
      </w:r>
      <w:r>
        <w:rPr>
          <w:rFonts w:hint="eastAsia" w:ascii="仿宋" w:hAnsi="仿宋" w:eastAsia="仿宋" w:cs="Times New Roman"/>
          <w:sz w:val="24"/>
          <w:szCs w:val="24"/>
          <w:lang w:eastAsia="zh-CN"/>
        </w:rPr>
        <w:t>磋商</w:t>
      </w:r>
      <w:r>
        <w:rPr>
          <w:rFonts w:hint="eastAsia" w:ascii="仿宋" w:hAnsi="仿宋" w:eastAsia="仿宋" w:cs="Times New Roman"/>
          <w:sz w:val="24"/>
          <w:szCs w:val="24"/>
        </w:rPr>
        <w:t>公告；</w:t>
      </w:r>
    </w:p>
    <w:p w14:paraId="692322E0">
      <w:pPr>
        <w:pStyle w:val="14"/>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）磋商</w:t>
      </w:r>
      <w:r>
        <w:rPr>
          <w:rFonts w:ascii="仿宋" w:hAnsi="仿宋" w:eastAsia="仿宋" w:cs="Times New Roman"/>
          <w:sz w:val="24"/>
          <w:szCs w:val="24"/>
        </w:rPr>
        <w:t>文件没有不合理条款、</w:t>
      </w:r>
      <w:r>
        <w:rPr>
          <w:rFonts w:hint="eastAsia" w:ascii="仿宋" w:hAnsi="仿宋" w:eastAsia="仿宋" w:cs="Times New Roman"/>
          <w:sz w:val="24"/>
          <w:szCs w:val="24"/>
        </w:rPr>
        <w:t>采购</w:t>
      </w:r>
      <w:r>
        <w:rPr>
          <w:rFonts w:ascii="仿宋" w:hAnsi="仿宋" w:eastAsia="仿宋" w:cs="Times New Roman"/>
          <w:sz w:val="24"/>
          <w:szCs w:val="24"/>
        </w:rPr>
        <w:t>程序符合规定</w:t>
      </w:r>
      <w:r>
        <w:rPr>
          <w:rFonts w:hint="eastAsia" w:ascii="仿宋" w:hAnsi="仿宋" w:eastAsia="仿宋" w:cs="Times New Roman"/>
          <w:sz w:val="24"/>
          <w:szCs w:val="24"/>
        </w:rPr>
        <w:t>，且已经连续公告两次或两次以上的项目，</w:t>
      </w:r>
      <w:r>
        <w:rPr>
          <w:rFonts w:ascii="仿宋" w:hAnsi="仿宋" w:eastAsia="仿宋" w:cs="Times New Roman"/>
          <w:sz w:val="24"/>
          <w:szCs w:val="24"/>
        </w:rPr>
        <w:t>采购人</w:t>
      </w:r>
      <w:r>
        <w:rPr>
          <w:rFonts w:hint="eastAsia" w:ascii="仿宋" w:hAnsi="仿宋" w:eastAsia="仿宋" w:cs="Times New Roman"/>
          <w:sz w:val="24"/>
          <w:szCs w:val="24"/>
        </w:rPr>
        <w:t>可以选择：</w:t>
      </w:r>
    </w:p>
    <w:p w14:paraId="5F795661">
      <w:pPr>
        <w:pStyle w:val="14"/>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rPr>
        <w:t>①若</w:t>
      </w:r>
      <w:r>
        <w:rPr>
          <w:rFonts w:ascii="仿宋" w:hAnsi="仿宋" w:eastAsia="仿宋" w:cs="Times New Roman"/>
          <w:sz w:val="24"/>
          <w:szCs w:val="24"/>
        </w:rPr>
        <w:t>通过资格审查或符合性审查的供应商</w:t>
      </w:r>
      <w:r>
        <w:rPr>
          <w:rFonts w:hint="eastAsia" w:ascii="仿宋" w:hAnsi="仿宋" w:eastAsia="仿宋" w:cs="Times New Roman"/>
          <w:sz w:val="24"/>
          <w:szCs w:val="24"/>
        </w:rPr>
        <w:t>只有两家时，</w:t>
      </w:r>
      <w:r>
        <w:rPr>
          <w:rFonts w:hint="eastAsia" w:ascii="仿宋" w:hAnsi="仿宋" w:eastAsia="仿宋" w:cs="Times New Roman"/>
          <w:sz w:val="24"/>
          <w:szCs w:val="24"/>
          <w:lang w:eastAsia="zh-CN"/>
        </w:rPr>
        <w:t>磋商</w:t>
      </w:r>
      <w:r>
        <w:rPr>
          <w:rFonts w:hint="eastAsia" w:ascii="仿宋" w:hAnsi="仿宋" w:eastAsia="仿宋" w:cs="Times New Roman"/>
          <w:sz w:val="24"/>
          <w:szCs w:val="24"/>
        </w:rPr>
        <w:t>继续进行，并按照既定的</w:t>
      </w:r>
      <w:r>
        <w:rPr>
          <w:rFonts w:hint="eastAsia" w:ascii="仿宋" w:hAnsi="仿宋" w:eastAsia="仿宋" w:cs="Times New Roman"/>
          <w:sz w:val="24"/>
          <w:szCs w:val="24"/>
          <w:lang w:eastAsia="zh-CN"/>
        </w:rPr>
        <w:t>磋商</w:t>
      </w:r>
      <w:r>
        <w:rPr>
          <w:rFonts w:hint="eastAsia" w:ascii="仿宋" w:hAnsi="仿宋" w:eastAsia="仿宋" w:cs="Times New Roman"/>
          <w:sz w:val="24"/>
          <w:szCs w:val="24"/>
        </w:rPr>
        <w:t xml:space="preserve">办法确定成交供应商。 </w:t>
      </w:r>
    </w:p>
    <w:p w14:paraId="5592E678">
      <w:pPr>
        <w:pStyle w:val="14"/>
        <w:spacing w:line="360" w:lineRule="auto"/>
        <w:ind w:firstLine="480" w:firstLineChars="200"/>
        <w:jc w:val="left"/>
      </w:pPr>
      <w:r>
        <w:rPr>
          <w:rFonts w:hint="eastAsia" w:ascii="仿宋" w:hAnsi="仿宋" w:eastAsia="仿宋" w:cs="Times New Roman"/>
          <w:sz w:val="24"/>
          <w:szCs w:val="24"/>
        </w:rPr>
        <w:t>②若资格审查</w:t>
      </w:r>
      <w:r>
        <w:rPr>
          <w:rFonts w:ascii="仿宋" w:hAnsi="仿宋" w:eastAsia="仿宋" w:cs="Times New Roman"/>
          <w:sz w:val="24"/>
          <w:szCs w:val="24"/>
        </w:rPr>
        <w:t>或符合性审查的</w:t>
      </w:r>
      <w:r>
        <w:rPr>
          <w:rFonts w:hint="eastAsia" w:ascii="仿宋" w:hAnsi="仿宋" w:eastAsia="仿宋" w:cs="Times New Roman"/>
          <w:sz w:val="24"/>
          <w:szCs w:val="24"/>
        </w:rPr>
        <w:t>供应商只有一家时，直接</w:t>
      </w:r>
      <w:r>
        <w:rPr>
          <w:rFonts w:hint="eastAsia" w:ascii="仿宋" w:hAnsi="仿宋" w:eastAsia="仿宋" w:cs="Times New Roman"/>
          <w:sz w:val="24"/>
          <w:szCs w:val="24"/>
          <w:lang w:eastAsia="zh-CN"/>
        </w:rPr>
        <w:t>一家</w:t>
      </w:r>
      <w:r>
        <w:rPr>
          <w:rFonts w:hint="eastAsia" w:ascii="仿宋" w:hAnsi="仿宋" w:eastAsia="仿宋" w:cs="Times New Roman"/>
          <w:sz w:val="24"/>
          <w:szCs w:val="24"/>
        </w:rPr>
        <w:t>谈判。</w:t>
      </w:r>
    </w:p>
    <w:p w14:paraId="2F2BF90C">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五、成交</w:t>
      </w:r>
    </w:p>
    <w:p w14:paraId="3B0E160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1、确定成交单位</w:t>
      </w:r>
    </w:p>
    <w:p w14:paraId="59314FB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1.1采购人根据磋商小组推荐的成交候选人确定成交供应商。采购人确定成交供应商后，代理机构将在</w:t>
      </w:r>
      <w:r>
        <w:rPr>
          <w:rFonts w:hint="eastAsia" w:ascii="仿宋" w:hAnsi="仿宋" w:eastAsia="仿宋"/>
          <w:sz w:val="24"/>
          <w:szCs w:val="24"/>
        </w:rPr>
        <w:t>南通市退役军人事务局网站</w:t>
      </w:r>
      <w:r>
        <w:rPr>
          <w:rFonts w:ascii="仿宋" w:hAnsi="仿宋" w:eastAsia="仿宋"/>
          <w:sz w:val="24"/>
          <w:szCs w:val="24"/>
        </w:rPr>
        <w:t>发布中标公告，公告期限为1个工作日。</w:t>
      </w:r>
    </w:p>
    <w:p w14:paraId="6FC08CF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1.2若有充分证据证明，成交供应商出现下列情况之一的，一经查实，将被取消成交资格：</w:t>
      </w:r>
    </w:p>
    <w:p w14:paraId="71BEC41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（1）提供虚假材料谋取成交的；</w:t>
      </w:r>
    </w:p>
    <w:p w14:paraId="5A730CA6">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（2）与评审专家、采购人、其他供应商或者代理机构工作人员恶意串通的；</w:t>
      </w:r>
    </w:p>
    <w:p w14:paraId="09B1390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（3）向评审专家、采购人或代理机构工作人员行贿或者提供其他不正当利益的；</w:t>
      </w:r>
    </w:p>
    <w:p w14:paraId="56CC3DD8">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（4）恶意竞争，最终总报价明显低于其自身合理成本且又无法提供证明的；</w:t>
      </w:r>
    </w:p>
    <w:p w14:paraId="2574EF4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（5）不满足本磋商文件规定的实质性要求，但在评审过程中又未被磋商小组发现的；</w:t>
      </w:r>
    </w:p>
    <w:p w14:paraId="65F02CF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（6）成交后无正当理由拒不与采购人签订采购合同或者未按照磋商文件确定的事项签订采购合同；</w:t>
      </w:r>
    </w:p>
    <w:p w14:paraId="3364518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（7）将采购合同转包；</w:t>
      </w:r>
    </w:p>
    <w:p w14:paraId="616F6722">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（8）法律、法规、规章规定的属于成交无效的其他情形。</w:t>
      </w:r>
    </w:p>
    <w:p w14:paraId="7828B0C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2、质疑处理</w:t>
      </w:r>
    </w:p>
    <w:p w14:paraId="4777419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14:paraId="28C3D5D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（1）对可以质疑的磋商文件提出质疑的，为收到磋商文件之日或者磋商文件公告期限届满之日；</w:t>
      </w:r>
    </w:p>
    <w:p w14:paraId="5A7E709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（2）对采购过程提出质疑的，为各采购程序环节结束之日；</w:t>
      </w:r>
    </w:p>
    <w:p w14:paraId="59FA7E9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（3）对成交结果提出质疑的，为成交结果公告期限届满之日。</w:t>
      </w:r>
    </w:p>
    <w:p w14:paraId="7A4CF681">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2.2质疑必须由磋商供应商法定代表人或授权代表（响应文件中所确定的）以原件送达的方式提交，未按上述要求提交的质疑函（含传真、电子邮件等）代理机构有权不予受理。</w:t>
      </w:r>
    </w:p>
    <w:p w14:paraId="6FFE89A4">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2.3未参加磋商采购活动的供应商或在磋商采购活动中自身权益未受到损害的供应商所提出的质疑不予受理。</w:t>
      </w:r>
    </w:p>
    <w:p w14:paraId="6C29F9F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2.4质疑函应当包括下列内容：</w:t>
      </w:r>
    </w:p>
    <w:p w14:paraId="7BEE372D">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（1）质疑供应商的名称、地址、邮编、联系人、联系电话；</w:t>
      </w:r>
    </w:p>
    <w:p w14:paraId="6FCFA37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（2）具体的质疑事项及明确的请求；</w:t>
      </w:r>
    </w:p>
    <w:p w14:paraId="5553AFF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（3）认为自己合法权益受到损害或可能受到损害的相关证据材料；</w:t>
      </w:r>
    </w:p>
    <w:p w14:paraId="73217A7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（4）提起质疑的日期；</w:t>
      </w:r>
    </w:p>
    <w:p w14:paraId="615D5CDB">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14:paraId="21F6E3BA">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2.5代理机构收到质疑函后，将对质疑的形式和内容进行审查，如质疑函内容、格式不符合规定，代理机构将告知质疑人进行补正。</w:t>
      </w:r>
    </w:p>
    <w:p w14:paraId="69530E9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2.6质疑人应当在法定质疑期限内进行补正并重新提交质疑函，拒不补正或者在法定期限内未重新提交质疑函的，为无效质疑，代理机构有权不予受理。</w:t>
      </w:r>
    </w:p>
    <w:p w14:paraId="26845FE7">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14:paraId="2E3289D3">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2.8供应商提出书面质疑必须有理、有据，不得恶意质疑或提交虚假质疑。否则，一经查实，代理机构有权依据采购的有关规定，报请</w:t>
      </w:r>
      <w:r>
        <w:rPr>
          <w:rFonts w:hint="eastAsia" w:ascii="仿宋" w:hAnsi="仿宋" w:eastAsia="仿宋"/>
          <w:sz w:val="24"/>
          <w:szCs w:val="24"/>
        </w:rPr>
        <w:t>相关部门</w:t>
      </w:r>
      <w:r>
        <w:rPr>
          <w:rFonts w:ascii="仿宋" w:hAnsi="仿宋" w:eastAsia="仿宋"/>
          <w:sz w:val="24"/>
          <w:szCs w:val="24"/>
        </w:rPr>
        <w:t>对该供应商进行相应的处罚。</w:t>
      </w:r>
    </w:p>
    <w:p w14:paraId="7E47E124">
      <w:pPr>
        <w:pStyle w:val="14"/>
        <w:spacing w:line="360" w:lineRule="auto"/>
        <w:ind w:firstLine="462" w:firstLineChars="200"/>
        <w:rPr>
          <w:rFonts w:ascii="仿宋" w:hAnsi="仿宋" w:eastAsia="仿宋"/>
          <w:b/>
          <w:bCs/>
        </w:rPr>
      </w:pPr>
      <w:r>
        <w:rPr>
          <w:rFonts w:ascii="仿宋" w:hAnsi="仿宋" w:eastAsia="仿宋"/>
          <w:b/>
          <w:bCs/>
          <w:sz w:val="23"/>
          <w:szCs w:val="23"/>
        </w:rPr>
        <w:t>注明：本磋商文件要求所有投标供应商应在法定质疑期内一次性提出针对同一采购程序环节的质疑。</w:t>
      </w:r>
    </w:p>
    <w:p w14:paraId="355CD204">
      <w:pPr>
        <w:pStyle w:val="14"/>
        <w:spacing w:line="360" w:lineRule="auto"/>
        <w:ind w:firstLine="482" w:firstLineChars="200"/>
        <w:jc w:val="left"/>
        <w:rPr>
          <w:rFonts w:ascii="仿宋" w:hAnsi="仿宋" w:eastAsia="仿宋"/>
          <w:b/>
          <w:bCs/>
          <w:sz w:val="24"/>
          <w:szCs w:val="24"/>
        </w:rPr>
      </w:pPr>
      <w:r>
        <w:rPr>
          <w:rFonts w:ascii="仿宋" w:hAnsi="仿宋" w:eastAsia="仿宋"/>
          <w:b/>
          <w:bCs/>
          <w:sz w:val="24"/>
          <w:szCs w:val="24"/>
        </w:rPr>
        <w:t>六、合同签订相关事项</w:t>
      </w:r>
    </w:p>
    <w:p w14:paraId="6529E265">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1、签订合同</w:t>
      </w:r>
    </w:p>
    <w:p w14:paraId="05F268A0">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l成交供应商确定后，代理机构将向成交供应商发出成交通知书。成交供应商应按成交通知书规定的时间、地点,按照磋商文件确定的事项与采购人签订采购合同，且不得迟于成交通知书发出之日起十五日内，由此给采购人造成损失的，成交供应商还应承担赔偿责任。</w:t>
      </w:r>
    </w:p>
    <w:p w14:paraId="6FC6F209">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1.2 磋商文件、成交供应商的响应文件及磋商采购过程中有关澄清、承诺文件均应作为合同附件。</w:t>
      </w:r>
    </w:p>
    <w:p w14:paraId="75F2A8AF">
      <w:pPr>
        <w:pStyle w:val="14"/>
        <w:spacing w:line="360" w:lineRule="auto"/>
        <w:ind w:firstLine="480" w:firstLineChars="200"/>
        <w:jc w:val="left"/>
        <w:rPr>
          <w:rFonts w:ascii="仿宋" w:hAnsi="仿宋" w:eastAsia="仿宋"/>
          <w:sz w:val="24"/>
          <w:szCs w:val="24"/>
        </w:rPr>
      </w:pPr>
      <w:r>
        <w:rPr>
          <w:rFonts w:ascii="仿宋" w:hAnsi="仿宋" w:eastAsia="仿宋"/>
          <w:sz w:val="24"/>
          <w:szCs w:val="24"/>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14:paraId="2BBB8A6B">
      <w:pPr>
        <w:pStyle w:val="14"/>
        <w:spacing w:line="360" w:lineRule="auto"/>
        <w:ind w:firstLine="480" w:firstLineChars="200"/>
        <w:jc w:val="left"/>
        <w:rPr>
          <w:rFonts w:ascii="仿宋" w:hAnsi="仿宋" w:eastAsia="仿宋"/>
          <w:b/>
          <w:bCs/>
          <w:sz w:val="24"/>
          <w:szCs w:val="24"/>
        </w:rPr>
      </w:pPr>
      <w:r>
        <w:rPr>
          <w:rFonts w:ascii="仿宋" w:hAnsi="仿宋" w:eastAsia="仿宋"/>
          <w:sz w:val="24"/>
          <w:szCs w:val="24"/>
        </w:rPr>
        <w:t>2、履约保证金</w:t>
      </w:r>
      <w:r>
        <w:rPr>
          <w:rFonts w:hint="eastAsia" w:ascii="仿宋" w:hAnsi="仿宋" w:eastAsia="仿宋"/>
          <w:sz w:val="24"/>
          <w:szCs w:val="24"/>
        </w:rPr>
        <w:t>：无</w:t>
      </w:r>
    </w:p>
    <w:p w14:paraId="1E513E55">
      <w:pPr>
        <w:pStyle w:val="22"/>
        <w:spacing w:before="0" w:after="0"/>
        <w:ind w:firstLine="482" w:firstLineChars="200"/>
        <w:jc w:val="both"/>
        <w:rPr>
          <w:rFonts w:ascii="仿宋" w:hAnsi="仿宋" w:eastAsia="仿宋"/>
          <w:color w:val="auto"/>
          <w:sz w:val="24"/>
          <w:szCs w:val="24"/>
        </w:rPr>
      </w:pPr>
      <w:r>
        <w:rPr>
          <w:rFonts w:ascii="仿宋" w:hAnsi="仿宋" w:eastAsia="仿宋"/>
          <w:color w:val="auto"/>
          <w:sz w:val="24"/>
          <w:szCs w:val="24"/>
        </w:rPr>
        <w:t>七、采购代理服务费</w:t>
      </w:r>
    </w:p>
    <w:p w14:paraId="6C6CD51F">
      <w:pPr>
        <w:pStyle w:val="14"/>
        <w:spacing w:line="360" w:lineRule="auto"/>
        <w:ind w:firstLine="480" w:firstLineChars="200"/>
        <w:jc w:val="left"/>
        <w:rPr>
          <w:rFonts w:ascii="仿宋" w:hAnsi="仿宋" w:eastAsia="仿宋"/>
          <w:sz w:val="24"/>
          <w:szCs w:val="24"/>
        </w:rPr>
      </w:pPr>
      <w:r>
        <w:rPr>
          <w:rFonts w:hint="eastAsia" w:ascii="仿宋" w:hAnsi="仿宋" w:eastAsia="仿宋"/>
          <w:sz w:val="24"/>
          <w:szCs w:val="24"/>
        </w:rPr>
        <w:t>本项目招标代理服务费按两年总预算金额的</w:t>
      </w:r>
      <w:r>
        <w:rPr>
          <w:rFonts w:hint="eastAsia" w:ascii="宋体" w:hAnsi="宋体"/>
          <w:sz w:val="24"/>
        </w:rPr>
        <w:t>0.6%</w:t>
      </w:r>
      <w:r>
        <w:rPr>
          <w:rFonts w:hint="eastAsia" w:ascii="仿宋" w:hAnsi="仿宋" w:eastAsia="仿宋"/>
          <w:sz w:val="24"/>
          <w:szCs w:val="24"/>
        </w:rPr>
        <w:t xml:space="preserve"> 收取，由项目的成交供应商支付，由各潜在投标供应商自行统筹考虑，成交供应商在领取成交通知书前一次性支付。</w:t>
      </w:r>
    </w:p>
    <w:p w14:paraId="134C1077">
      <w:pPr>
        <w:pStyle w:val="22"/>
        <w:spacing w:before="0" w:after="0"/>
        <w:jc w:val="both"/>
        <w:rPr>
          <w:rFonts w:ascii="仿宋" w:hAnsi="仿宋" w:eastAsia="仿宋"/>
          <w:color w:val="auto"/>
          <w:sz w:val="24"/>
          <w:szCs w:val="24"/>
        </w:rPr>
      </w:pPr>
    </w:p>
    <w:p w14:paraId="294DFD94">
      <w:pPr>
        <w:pStyle w:val="14"/>
        <w:spacing w:line="360" w:lineRule="auto"/>
        <w:ind w:firstLine="420" w:firstLineChars="200"/>
        <w:jc w:val="left"/>
        <w:rPr>
          <w:rFonts w:ascii="仿宋" w:hAnsi="仿宋" w:eastAsia="仿宋"/>
          <w:sz w:val="24"/>
          <w:szCs w:val="24"/>
        </w:rPr>
      </w:pPr>
      <w:r>
        <w:br w:type="page"/>
      </w:r>
    </w:p>
    <w:p w14:paraId="2DB8065D">
      <w:pPr>
        <w:pStyle w:val="14"/>
        <w:spacing w:line="360" w:lineRule="auto"/>
        <w:ind w:firstLine="480"/>
        <w:jc w:val="center"/>
        <w:rPr>
          <w:rFonts w:ascii="仿宋" w:hAnsi="仿宋" w:eastAsia="仿宋"/>
          <w:b/>
          <w:bCs/>
          <w:kern w:val="0"/>
          <w:sz w:val="44"/>
          <w:szCs w:val="44"/>
        </w:rPr>
      </w:pPr>
      <w:r>
        <w:rPr>
          <w:rFonts w:ascii="仿宋" w:hAnsi="仿宋" w:eastAsia="仿宋"/>
          <w:b/>
          <w:bCs/>
          <w:kern w:val="0"/>
          <w:sz w:val="44"/>
          <w:szCs w:val="44"/>
        </w:rPr>
        <w:t>第三章合同条款及格式</w:t>
      </w:r>
    </w:p>
    <w:p w14:paraId="016C1DF8">
      <w:pPr>
        <w:pStyle w:val="14"/>
        <w:rPr>
          <w:rFonts w:ascii="仿宋" w:hAnsi="仿宋" w:eastAsia="仿宋"/>
        </w:rPr>
      </w:pPr>
      <w:r>
        <w:rPr>
          <w:rFonts w:ascii="仿宋" w:hAnsi="仿宋" w:eastAsia="仿宋"/>
        </w:rPr>
        <w:t xml:space="preserve"> </w:t>
      </w:r>
    </w:p>
    <w:p w14:paraId="4C08E977">
      <w:pPr>
        <w:spacing w:line="360" w:lineRule="auto"/>
        <w:jc w:val="center"/>
        <w:rPr>
          <w:rFonts w:ascii="仿宋" w:hAnsi="仿宋" w:eastAsia="仿宋"/>
          <w:sz w:val="32"/>
          <w:szCs w:val="32"/>
        </w:rPr>
      </w:pPr>
    </w:p>
    <w:p w14:paraId="6A8032B3">
      <w:pPr>
        <w:spacing w:line="360" w:lineRule="auto"/>
        <w:jc w:val="center"/>
        <w:rPr>
          <w:rFonts w:ascii="仿宋" w:hAnsi="仿宋" w:eastAsia="仿宋"/>
          <w:sz w:val="32"/>
          <w:szCs w:val="32"/>
        </w:rPr>
      </w:pPr>
    </w:p>
    <w:p w14:paraId="7786D936">
      <w:pPr>
        <w:spacing w:line="480" w:lineRule="auto"/>
        <w:ind w:firstLine="3313" w:firstLineChars="750"/>
        <w:rPr>
          <w:rFonts w:ascii="仿宋" w:hAnsi="仿宋" w:eastAsia="仿宋"/>
          <w:b/>
          <w:sz w:val="44"/>
          <w:szCs w:val="44"/>
        </w:rPr>
      </w:pPr>
      <w:r>
        <w:rPr>
          <w:rFonts w:ascii="仿宋" w:hAnsi="仿宋" w:eastAsia="仿宋"/>
          <w:b/>
          <w:sz w:val="44"/>
          <w:szCs w:val="44"/>
        </w:rPr>
        <w:t>采购合同</w:t>
      </w:r>
    </w:p>
    <w:p w14:paraId="59B3D1B1">
      <w:pPr>
        <w:pStyle w:val="23"/>
        <w:rPr>
          <w:rFonts w:ascii="仿宋" w:hAnsi="仿宋" w:eastAsia="仿宋"/>
          <w:szCs w:val="24"/>
        </w:rPr>
      </w:pPr>
    </w:p>
    <w:p w14:paraId="6FDF7E3B">
      <w:pPr>
        <w:pStyle w:val="23"/>
        <w:rPr>
          <w:rFonts w:ascii="仿宋" w:hAnsi="仿宋" w:eastAsia="仿宋"/>
          <w:szCs w:val="24"/>
        </w:rPr>
      </w:pPr>
    </w:p>
    <w:p w14:paraId="59A2FC83">
      <w:pPr>
        <w:pStyle w:val="23"/>
        <w:rPr>
          <w:rFonts w:ascii="仿宋" w:hAnsi="仿宋" w:eastAsia="仿宋"/>
          <w:sz w:val="28"/>
          <w:szCs w:val="28"/>
        </w:rPr>
      </w:pPr>
    </w:p>
    <w:p w14:paraId="61960F70">
      <w:pPr>
        <w:spacing w:before="120" w:line="22" w:lineRule="atLeast"/>
        <w:ind w:left="960"/>
        <w:rPr>
          <w:rFonts w:ascii="仿宋" w:hAnsi="仿宋" w:eastAsia="仿宋"/>
          <w:b/>
          <w:bCs/>
          <w:sz w:val="24"/>
          <w:u w:val="single"/>
        </w:rPr>
      </w:pPr>
      <w:r>
        <w:rPr>
          <w:rFonts w:hint="eastAsia" w:ascii="仿宋" w:hAnsi="仿宋" w:eastAsia="仿宋"/>
          <w:sz w:val="24"/>
        </w:rPr>
        <w:t>项目名称：</w:t>
      </w:r>
    </w:p>
    <w:p w14:paraId="6D7361E1">
      <w:pPr>
        <w:rPr>
          <w:rFonts w:ascii="仿宋" w:hAnsi="仿宋" w:eastAsia="仿宋"/>
        </w:rPr>
      </w:pPr>
    </w:p>
    <w:p w14:paraId="64C6A8AC">
      <w:pPr>
        <w:rPr>
          <w:rFonts w:ascii="仿宋" w:hAnsi="仿宋" w:eastAsia="仿宋"/>
        </w:rPr>
      </w:pPr>
    </w:p>
    <w:p w14:paraId="3FFA6A00">
      <w:pPr>
        <w:rPr>
          <w:rFonts w:ascii="仿宋" w:hAnsi="仿宋" w:eastAsia="仿宋"/>
        </w:rPr>
      </w:pPr>
    </w:p>
    <w:p w14:paraId="4B84B988">
      <w:pPr>
        <w:rPr>
          <w:rFonts w:ascii="仿宋" w:hAnsi="仿宋" w:eastAsia="仿宋"/>
        </w:rPr>
      </w:pPr>
    </w:p>
    <w:p w14:paraId="3D43A6D7">
      <w:pPr>
        <w:rPr>
          <w:rFonts w:ascii="仿宋" w:hAnsi="仿宋" w:eastAsia="仿宋"/>
        </w:rPr>
      </w:pPr>
    </w:p>
    <w:p w14:paraId="1BC0CE04">
      <w:pPr>
        <w:rPr>
          <w:rFonts w:ascii="仿宋" w:hAnsi="仿宋" w:eastAsia="仿宋"/>
        </w:rPr>
      </w:pPr>
    </w:p>
    <w:p w14:paraId="7CA0FBB5">
      <w:pPr>
        <w:rPr>
          <w:rFonts w:ascii="仿宋" w:hAnsi="仿宋" w:eastAsia="仿宋"/>
        </w:rPr>
      </w:pPr>
    </w:p>
    <w:p w14:paraId="4D636A08">
      <w:pPr>
        <w:rPr>
          <w:rFonts w:ascii="仿宋" w:hAnsi="仿宋" w:eastAsia="仿宋"/>
        </w:rPr>
      </w:pPr>
    </w:p>
    <w:p w14:paraId="33E0DD82">
      <w:pPr>
        <w:rPr>
          <w:rFonts w:ascii="仿宋" w:hAnsi="仿宋" w:eastAsia="仿宋"/>
        </w:rPr>
      </w:pPr>
    </w:p>
    <w:p w14:paraId="25ECD72A">
      <w:pPr>
        <w:rPr>
          <w:rFonts w:ascii="仿宋" w:hAnsi="仿宋" w:eastAsia="仿宋"/>
        </w:rPr>
      </w:pPr>
    </w:p>
    <w:p w14:paraId="4AB060CA">
      <w:pPr>
        <w:rPr>
          <w:rFonts w:ascii="仿宋" w:hAnsi="仿宋" w:eastAsia="仿宋"/>
        </w:rPr>
      </w:pPr>
    </w:p>
    <w:p w14:paraId="392295BB">
      <w:pPr>
        <w:rPr>
          <w:rFonts w:ascii="仿宋" w:hAnsi="仿宋" w:eastAsia="仿宋"/>
        </w:rPr>
      </w:pPr>
    </w:p>
    <w:p w14:paraId="00E0578E">
      <w:pPr>
        <w:spacing w:before="120" w:line="22" w:lineRule="atLeast"/>
        <w:ind w:left="960"/>
        <w:rPr>
          <w:rFonts w:ascii="仿宋" w:hAnsi="仿宋" w:eastAsia="仿宋"/>
          <w:sz w:val="24"/>
          <w:u w:val="single"/>
        </w:rPr>
      </w:pPr>
      <w:r>
        <w:rPr>
          <w:rFonts w:hint="eastAsia" w:ascii="仿宋" w:hAnsi="仿宋" w:eastAsia="仿宋"/>
          <w:sz w:val="24"/>
        </w:rPr>
        <w:t>甲方：</w:t>
      </w:r>
    </w:p>
    <w:p w14:paraId="34E323E1">
      <w:pPr>
        <w:spacing w:before="120" w:line="22" w:lineRule="atLeast"/>
        <w:ind w:left="960"/>
        <w:rPr>
          <w:rFonts w:ascii="仿宋" w:hAnsi="仿宋" w:eastAsia="仿宋"/>
          <w:sz w:val="24"/>
          <w:u w:val="single"/>
        </w:rPr>
      </w:pPr>
      <w:r>
        <w:rPr>
          <w:rFonts w:hint="eastAsia" w:ascii="仿宋" w:hAnsi="仿宋" w:eastAsia="仿宋"/>
          <w:sz w:val="24"/>
        </w:rPr>
        <w:t>乙方：</w:t>
      </w:r>
    </w:p>
    <w:p w14:paraId="62781A36">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14:paraId="74D1B3FE">
      <w:pPr>
        <w:spacing w:before="120" w:line="22" w:lineRule="atLeast"/>
        <w:rPr>
          <w:rFonts w:ascii="仿宋" w:hAnsi="仿宋" w:eastAsia="仿宋"/>
          <w:sz w:val="24"/>
        </w:rPr>
      </w:pPr>
    </w:p>
    <w:p w14:paraId="6338F209">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14:paraId="624ACADA">
      <w:pPr>
        <w:widowControl/>
        <w:jc w:val="left"/>
        <w:rPr>
          <w:rFonts w:ascii="仿宋" w:hAnsi="仿宋" w:eastAsia="仿宋"/>
          <w:sz w:val="24"/>
          <w:lang w:val="zh-CN"/>
        </w:rPr>
      </w:pPr>
      <w:r>
        <w:rPr>
          <w:rFonts w:ascii="仿宋" w:hAnsi="仿宋" w:eastAsia="仿宋"/>
          <w:sz w:val="24"/>
          <w:lang w:val="zh-CN"/>
        </w:rPr>
        <w:br w:type="page"/>
      </w:r>
    </w:p>
    <w:p w14:paraId="47F970A3">
      <w:pPr>
        <w:spacing w:line="360" w:lineRule="auto"/>
        <w:ind w:firstLine="523" w:firstLineChars="218"/>
        <w:rPr>
          <w:rFonts w:ascii="仿宋" w:hAnsi="仿宋" w:eastAsia="仿宋" w:cs="黑体"/>
          <w:sz w:val="24"/>
          <w:szCs w:val="24"/>
        </w:rPr>
      </w:pPr>
      <w:r>
        <w:rPr>
          <w:rFonts w:hint="eastAsia" w:ascii="仿宋" w:hAnsi="仿宋" w:eastAsia="仿宋" w:cs="黑体"/>
          <w:sz w:val="24"/>
        </w:rPr>
        <w:t>甲方</w:t>
      </w:r>
      <w:r>
        <w:rPr>
          <w:rFonts w:ascii="仿宋" w:hAnsi="仿宋" w:eastAsia="仿宋" w:cs="黑体"/>
          <w:sz w:val="24"/>
        </w:rPr>
        <w:t>:</w:t>
      </w:r>
      <w:r>
        <w:rPr>
          <w:rFonts w:ascii="仿宋" w:hAnsi="仿宋" w:eastAsia="仿宋" w:cs="黑体"/>
          <w:sz w:val="24"/>
          <w:szCs w:val="24"/>
        </w:rPr>
        <w:t xml:space="preserve"> </w:t>
      </w:r>
    </w:p>
    <w:p w14:paraId="50CB6CDB">
      <w:pPr>
        <w:spacing w:line="360" w:lineRule="auto"/>
        <w:ind w:firstLine="523" w:firstLineChars="218"/>
        <w:rPr>
          <w:rFonts w:ascii="仿宋" w:hAnsi="仿宋" w:eastAsia="仿宋" w:cs="黑体"/>
          <w:sz w:val="24"/>
          <w:u w:val="single"/>
        </w:rPr>
      </w:pPr>
      <w:r>
        <w:rPr>
          <w:rFonts w:hint="eastAsia" w:ascii="仿宋" w:hAnsi="仿宋" w:eastAsia="仿宋" w:cs="黑体"/>
          <w:sz w:val="24"/>
        </w:rPr>
        <w:t>乙方：</w:t>
      </w:r>
    </w:p>
    <w:p w14:paraId="078A74D1">
      <w:pPr>
        <w:spacing w:line="480" w:lineRule="auto"/>
        <w:ind w:firstLine="480" w:firstLineChars="200"/>
        <w:rPr>
          <w:rFonts w:ascii="仿宋" w:hAnsi="仿宋" w:eastAsia="仿宋" w:cs="宋体"/>
          <w:sz w:val="24"/>
        </w:rPr>
      </w:pPr>
      <w:r>
        <w:rPr>
          <w:rFonts w:hint="eastAsia" w:ascii="仿宋" w:hAnsi="仿宋" w:eastAsia="仿宋" w:cs="宋体"/>
          <w:sz w:val="24"/>
        </w:rPr>
        <w:t>根据《中华人民共和国民法典》及年月日（项目名称）</w:t>
      </w:r>
      <w:r>
        <w:rPr>
          <w:rFonts w:hint="eastAsia" w:ascii="仿宋" w:hAnsi="仿宋" w:eastAsia="仿宋" w:cs="黑体"/>
          <w:bCs/>
          <w:sz w:val="24"/>
          <w:szCs w:val="24"/>
          <w:u w:val="single"/>
        </w:rPr>
        <w:t xml:space="preserve">        </w:t>
      </w:r>
      <w:r>
        <w:rPr>
          <w:rFonts w:ascii="仿宋" w:hAnsi="仿宋" w:eastAsia="仿宋" w:cs="宋体"/>
          <w:sz w:val="24"/>
        </w:rPr>
        <w:t xml:space="preserve"> (</w:t>
      </w:r>
      <w:r>
        <w:rPr>
          <w:rFonts w:hint="eastAsia" w:ascii="仿宋" w:hAnsi="仿宋" w:eastAsia="仿宋" w:cs="宋体"/>
          <w:sz w:val="24"/>
        </w:rPr>
        <w:t>项目编号：</w:t>
      </w:r>
      <w:r>
        <w:rPr>
          <w:rFonts w:hint="eastAsia" w:ascii="仿宋" w:hAnsi="仿宋" w:eastAsia="仿宋" w:cs="宋体"/>
          <w:sz w:val="24"/>
          <w:u w:val="single"/>
        </w:rPr>
        <w:t xml:space="preserve">     </w:t>
      </w:r>
      <w:r>
        <w:rPr>
          <w:rFonts w:hint="eastAsia" w:ascii="仿宋" w:hAnsi="仿宋" w:eastAsia="仿宋" w:cs="宋体"/>
          <w:sz w:val="24"/>
        </w:rPr>
        <w:t xml:space="preserve"> </w:t>
      </w:r>
      <w:r>
        <w:rPr>
          <w:rFonts w:ascii="仿宋" w:hAnsi="仿宋" w:eastAsia="仿宋" w:cs="宋体"/>
          <w:sz w:val="24"/>
          <w:szCs w:val="24"/>
        </w:rPr>
        <w:t>)</w:t>
      </w:r>
      <w:r>
        <w:rPr>
          <w:rFonts w:hint="eastAsia" w:ascii="仿宋" w:hAnsi="仿宋" w:eastAsia="仿宋" w:cs="宋体"/>
          <w:sz w:val="24"/>
        </w:rPr>
        <w:t>的评标结果、竞争性磋商文件及响应文件，经双方协商一致，签订本合同。</w:t>
      </w:r>
    </w:p>
    <w:p w14:paraId="15B0393A">
      <w:pPr>
        <w:autoSpaceDE w:val="0"/>
        <w:autoSpaceDN w:val="0"/>
        <w:adjustRightInd w:val="0"/>
        <w:spacing w:line="360" w:lineRule="auto"/>
        <w:ind w:firstLine="420"/>
        <w:rPr>
          <w:rFonts w:ascii="仿宋" w:hAnsi="仿宋" w:eastAsia="仿宋" w:cs="宋体"/>
          <w:sz w:val="24"/>
        </w:rPr>
      </w:pPr>
      <w:r>
        <w:rPr>
          <w:rFonts w:hint="eastAsia" w:ascii="仿宋" w:hAnsi="仿宋" w:eastAsia="仿宋" w:cs="宋体"/>
          <w:sz w:val="24"/>
        </w:rPr>
        <w:t>第一条 合同标的乙方根据甲方需求提供下列服务：                    ，服务质量及内容详见乙方响应文件。</w:t>
      </w:r>
    </w:p>
    <w:p w14:paraId="72C0F526">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第二条</w:t>
      </w:r>
      <w:r>
        <w:rPr>
          <w:rFonts w:ascii="仿宋" w:hAnsi="仿宋" w:eastAsia="仿宋" w:cs="宋体"/>
          <w:sz w:val="24"/>
        </w:rPr>
        <w:t xml:space="preserve"> 本</w:t>
      </w:r>
      <w:r>
        <w:rPr>
          <w:rFonts w:hint="eastAsia" w:ascii="仿宋" w:hAnsi="仿宋" w:eastAsia="仿宋" w:cs="宋体"/>
          <w:sz w:val="24"/>
        </w:rPr>
        <w:t>合同为综合固定单价价款，合同金额为：人民币</w:t>
      </w:r>
      <w:r>
        <w:rPr>
          <w:rFonts w:ascii="仿宋" w:hAnsi="仿宋" w:eastAsia="仿宋" w:cs="宋体"/>
          <w:sz w:val="24"/>
        </w:rPr>
        <w:t>_</w:t>
      </w:r>
      <w:r>
        <w:rPr>
          <w:rFonts w:ascii="仿宋" w:hAnsi="仿宋" w:eastAsia="仿宋" w:cs="宋体"/>
          <w:sz w:val="24"/>
          <w:u w:val="single"/>
        </w:rPr>
        <w:t>_</w:t>
      </w:r>
      <w:r>
        <w:rPr>
          <w:rFonts w:hint="eastAsia" w:ascii="仿宋" w:hAnsi="仿宋" w:eastAsia="仿宋" w:cs="宋体"/>
          <w:sz w:val="24"/>
          <w:u w:val="single"/>
        </w:rPr>
        <w:t xml:space="preserve">   （大写）元/人次</w:t>
      </w:r>
      <w:r>
        <w:rPr>
          <w:rFonts w:ascii="仿宋" w:hAnsi="仿宋" w:eastAsia="仿宋" w:cs="宋体"/>
          <w:sz w:val="24"/>
        </w:rPr>
        <w:t>__</w:t>
      </w:r>
      <w:r>
        <w:rPr>
          <w:rFonts w:hint="eastAsia" w:ascii="仿宋" w:hAnsi="仿宋" w:eastAsia="仿宋" w:cs="宋体"/>
          <w:sz w:val="24"/>
        </w:rPr>
        <w:t>，最终结算总价格为：中标金额/人次*实际数量。实际数量是以甲方核实并确认的数量为准。</w:t>
      </w:r>
    </w:p>
    <w:p w14:paraId="005DCBC6">
      <w:pPr>
        <w:spacing w:line="360" w:lineRule="auto"/>
        <w:ind w:firstLine="480" w:firstLineChars="200"/>
        <w:rPr>
          <w:rFonts w:ascii="仿宋" w:hAnsi="仿宋" w:eastAsia="仿宋" w:cs="宋体"/>
          <w:sz w:val="23"/>
          <w:szCs w:val="23"/>
        </w:rPr>
      </w:pPr>
      <w:r>
        <w:rPr>
          <w:rFonts w:hint="eastAsia" w:ascii="仿宋" w:hAnsi="仿宋" w:eastAsia="仿宋" w:cs="宋体"/>
          <w:sz w:val="24"/>
        </w:rPr>
        <w:t>本合同价款是</w:t>
      </w:r>
      <w:r>
        <w:rPr>
          <w:rFonts w:hint="eastAsia" w:ascii="仿宋" w:hAnsi="仿宋" w:eastAsia="仿宋" w:cs="宋体"/>
          <w:sz w:val="23"/>
          <w:szCs w:val="23"/>
        </w:rPr>
        <w:t>即招标物项目实施结束前的所有费用且包含响应竞争性磋商文件采购要求的所有费用。</w:t>
      </w:r>
    </w:p>
    <w:p w14:paraId="1130CCBA">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本合同价款还包含乙方应当提供的伴随服务</w:t>
      </w:r>
      <w:r>
        <w:rPr>
          <w:rFonts w:ascii="仿宋" w:hAnsi="仿宋" w:eastAsia="仿宋" w:cs="宋体"/>
          <w:sz w:val="24"/>
        </w:rPr>
        <w:t>/</w:t>
      </w:r>
      <w:r>
        <w:rPr>
          <w:rFonts w:hint="eastAsia" w:ascii="仿宋" w:hAnsi="仿宋" w:eastAsia="仿宋" w:cs="宋体"/>
          <w:sz w:val="24"/>
        </w:rPr>
        <w:t>售后服务费用。</w:t>
      </w:r>
    </w:p>
    <w:p w14:paraId="48237EBC">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本合同执行期间合同总价款不变。</w:t>
      </w:r>
    </w:p>
    <w:p w14:paraId="6848C3F2">
      <w:pPr>
        <w:autoSpaceDE w:val="0"/>
        <w:autoSpaceDN w:val="0"/>
        <w:adjustRightInd w:val="0"/>
        <w:spacing w:line="360" w:lineRule="auto"/>
        <w:ind w:firstLine="470" w:firstLineChars="196"/>
        <w:rPr>
          <w:rFonts w:ascii="仿宋" w:hAnsi="仿宋" w:eastAsia="仿宋" w:cs="宋体"/>
          <w:sz w:val="24"/>
        </w:rPr>
      </w:pPr>
      <w:r>
        <w:rPr>
          <w:rFonts w:hint="eastAsia" w:ascii="仿宋" w:hAnsi="仿宋" w:eastAsia="仿宋" w:cs="宋体"/>
          <w:sz w:val="24"/>
        </w:rPr>
        <w:t>第三条组成本合同的有关文件下列关于</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3"/>
          <w:szCs w:val="23"/>
        </w:rPr>
        <w:t>组织的</w:t>
      </w:r>
      <w:r>
        <w:rPr>
          <w:rFonts w:hint="eastAsia" w:ascii="仿宋" w:hAnsi="仿宋" w:eastAsia="仿宋" w:cs="宋体"/>
          <w:sz w:val="23"/>
          <w:szCs w:val="23"/>
          <w:u w:val="single"/>
        </w:rPr>
        <w:t>（</w:t>
      </w:r>
      <w:r>
        <w:rPr>
          <w:rFonts w:hint="eastAsia" w:ascii="仿宋" w:hAnsi="仿宋" w:eastAsia="仿宋" w:cs="宋体"/>
          <w:sz w:val="24"/>
          <w:u w:val="single"/>
        </w:rPr>
        <w:t>项目名称及项目编码）</w:t>
      </w:r>
      <w:r>
        <w:rPr>
          <w:rFonts w:hint="eastAsia" w:ascii="仿宋" w:hAnsi="仿宋" w:eastAsia="仿宋" w:cs="宋体"/>
          <w:sz w:val="24"/>
        </w:rPr>
        <w:t>标的招投标文件或与本次采购活动方式相适应的文件及有关附件是本合同不可分割的组成部分，与本合同具有同等法律效力，这些文件包括但不限于：</w:t>
      </w:r>
    </w:p>
    <w:p w14:paraId="7F56A6BD">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 xml:space="preserve">）乙方提供的投标文件和投标报价表；           </w:t>
      </w:r>
    </w:p>
    <w:p w14:paraId="70AA4FBE">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（2）投标承诺；                                 （3）服务承诺；</w:t>
      </w:r>
    </w:p>
    <w:p w14:paraId="04545BD5">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（4）中标通知书；                               （5）甲乙双方商定的其他文件等。</w:t>
      </w:r>
    </w:p>
    <w:p w14:paraId="20157770">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第四条权利保证</w:t>
      </w:r>
    </w:p>
    <w:p w14:paraId="2A8D2CB8">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乙方应保证甲方在使用该服务或其任何一部分时不受第三方提出侵犯其专利权、版权、商标权或其他权利的起诉。一旦出现侵权，乙方应承担全部责任。</w:t>
      </w:r>
    </w:p>
    <w:p w14:paraId="4C36AECC">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第五条质量保证</w:t>
      </w:r>
    </w:p>
    <w:p w14:paraId="734AB42C">
      <w:pPr>
        <w:autoSpaceDE w:val="0"/>
        <w:autoSpaceDN w:val="0"/>
        <w:adjustRightInd w:val="0"/>
        <w:spacing w:line="360" w:lineRule="auto"/>
        <w:ind w:firstLine="420"/>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、乙方所提供的货物的技术规格应与竞争性磋商文件规定的技术规格及所附的“商务部分规格响应表”相一致；若技术性能无特殊说明，则按国家有关部门最新颁布的标准及规范为准。</w:t>
      </w:r>
    </w:p>
    <w:p w14:paraId="5E307153">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第六条履约保证金</w:t>
      </w:r>
    </w:p>
    <w:p w14:paraId="162C5D2E">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无</w:t>
      </w:r>
    </w:p>
    <w:p w14:paraId="7522F8A7">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第七条服务支付</w:t>
      </w:r>
    </w:p>
    <w:p w14:paraId="4BD80A54">
      <w:pPr>
        <w:autoSpaceDE w:val="0"/>
        <w:autoSpaceDN w:val="0"/>
        <w:adjustRightInd w:val="0"/>
        <w:spacing w:line="360" w:lineRule="auto"/>
        <w:ind w:firstLine="420"/>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、本合同项下所有款项均以人民币支付。</w:t>
      </w:r>
    </w:p>
    <w:p w14:paraId="659621FD">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2、付款方式：项目实施结束后且服务质量获得采购人认可后，并经上级部门拨款后（每年</w:t>
      </w:r>
      <w:r>
        <w:rPr>
          <w:rFonts w:hint="eastAsia" w:ascii="仿宋" w:hAnsi="仿宋" w:eastAsia="仿宋" w:cs="宋体"/>
          <w:sz w:val="23"/>
          <w:szCs w:val="23"/>
        </w:rPr>
        <w:t>12月25日前</w:t>
      </w:r>
      <w:r>
        <w:rPr>
          <w:rFonts w:hint="eastAsia" w:ascii="仿宋" w:hAnsi="仿宋" w:eastAsia="仿宋" w:cs="宋体"/>
          <w:sz w:val="24"/>
        </w:rPr>
        <w:t>）7个工作日内一次性付清。</w:t>
      </w:r>
    </w:p>
    <w:p w14:paraId="03FECB72">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3、根据现行税法对甲方征收的与本合同有关的一切税费均由甲方承担；根据现行税法对乙方征收的与本合同有关的一切税费均由乙方承担。</w:t>
      </w:r>
    </w:p>
    <w:p w14:paraId="526D2DFD">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4、支付（结算）方式：由甲方通知乙方提交相关发票（等额的增值税发票）并至支付（结算）中心办理支付手续，支付（结算）中心在各项手续、票据齐全的情况下完成对外支付。</w:t>
      </w:r>
    </w:p>
    <w:p w14:paraId="02D3D574">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第八条违约责任</w:t>
      </w:r>
      <w:r>
        <w:rPr>
          <w:rFonts w:ascii="仿宋" w:hAnsi="仿宋" w:eastAsia="仿宋" w:cs="宋体"/>
          <w:sz w:val="24"/>
        </w:rPr>
        <w:tab/>
      </w:r>
    </w:p>
    <w:p w14:paraId="12502F84">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乙方响应属虚假承诺，或经权威部门监测提供的货物不能满足竞争性磋商文件要求，或是由于乙方的过错造成合同无法继续履行的，乙方应向甲方支付不少于合同总价30%赔偿金。</w:t>
      </w:r>
    </w:p>
    <w:p w14:paraId="1A8CD654">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第九条合同的变更和终止</w:t>
      </w:r>
    </w:p>
    <w:p w14:paraId="58A873B3">
      <w:pPr>
        <w:autoSpaceDE w:val="0"/>
        <w:autoSpaceDN w:val="0"/>
        <w:adjustRightInd w:val="0"/>
        <w:spacing w:line="360" w:lineRule="auto"/>
        <w:ind w:firstLine="480" w:firstLineChars="200"/>
        <w:jc w:val="left"/>
        <w:rPr>
          <w:rFonts w:ascii="仿宋" w:hAnsi="仿宋" w:eastAsia="仿宋" w:cs="宋体"/>
          <w:sz w:val="24"/>
        </w:rPr>
      </w:pPr>
      <w:r>
        <w:rPr>
          <w:rFonts w:hint="eastAsia" w:ascii="仿宋" w:hAnsi="仿宋" w:eastAsia="仿宋" w:cs="宋体"/>
          <w:sz w:val="24"/>
        </w:rPr>
        <w:t>1、本合同一经签订，甲乙双方不得擅自变更、中止或终止合同。</w:t>
      </w:r>
    </w:p>
    <w:p w14:paraId="42C18714">
      <w:pPr>
        <w:autoSpaceDE w:val="0"/>
        <w:autoSpaceDN w:val="0"/>
        <w:adjustRightInd w:val="0"/>
        <w:spacing w:line="360" w:lineRule="auto"/>
        <w:ind w:firstLine="480" w:firstLineChars="200"/>
        <w:jc w:val="left"/>
        <w:rPr>
          <w:rFonts w:ascii="仿宋" w:hAnsi="仿宋" w:eastAsia="仿宋" w:cs="宋体"/>
          <w:sz w:val="24"/>
        </w:rPr>
      </w:pPr>
      <w:r>
        <w:rPr>
          <w:rFonts w:hint="eastAsia" w:ascii="仿宋" w:hAnsi="仿宋" w:eastAsia="仿宋" w:cs="宋体"/>
          <w:sz w:val="24"/>
        </w:rPr>
        <w:t>2、除发生法律规定的</w:t>
      </w:r>
      <w:r>
        <w:rPr>
          <w:rFonts w:ascii="仿宋" w:hAnsi="仿宋" w:eastAsia="仿宋" w:cs="宋体"/>
          <w:sz w:val="24"/>
        </w:rPr>
        <w:t>不能预见、不能避免并不能克服的客观情况</w:t>
      </w:r>
      <w:r>
        <w:rPr>
          <w:rFonts w:hint="eastAsia" w:ascii="仿宋" w:hAnsi="仿宋" w:eastAsia="仿宋" w:cs="宋体"/>
          <w:sz w:val="24"/>
        </w:rPr>
        <w:t>外，甲乙双方不得放弃或拒绝履行合同。乙方放弃或拒绝履行合同，保证金不予退还，在三年内不得参加</w:t>
      </w:r>
      <w:r>
        <w:rPr>
          <w:rFonts w:hint="eastAsia" w:ascii="仿宋" w:hAnsi="仿宋" w:eastAsia="仿宋"/>
          <w:b/>
          <w:bCs/>
          <w:sz w:val="24"/>
          <w:szCs w:val="24"/>
          <w:u w:val="single"/>
        </w:rPr>
        <w:t xml:space="preserve">南通市  </w:t>
      </w:r>
      <w:r>
        <w:rPr>
          <w:rFonts w:ascii="仿宋" w:hAnsi="仿宋" w:eastAsia="仿宋"/>
          <w:b/>
          <w:bCs/>
          <w:sz w:val="24"/>
          <w:szCs w:val="24"/>
          <w:u w:val="single"/>
        </w:rPr>
        <w:t xml:space="preserve">             </w:t>
      </w:r>
      <w:r>
        <w:rPr>
          <w:rFonts w:hint="eastAsia" w:ascii="仿宋" w:hAnsi="仿宋" w:eastAsia="仿宋" w:cs="宋体"/>
          <w:sz w:val="24"/>
        </w:rPr>
        <w:t>组织的采购活动。</w:t>
      </w:r>
    </w:p>
    <w:p w14:paraId="4AB47C47">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第十条合同的转让</w:t>
      </w:r>
    </w:p>
    <w:p w14:paraId="2A175C47">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乙方不得擅自部分或全部转让其应履行的合同义务。</w:t>
      </w:r>
    </w:p>
    <w:p w14:paraId="23476367">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第十一条争议的解决</w:t>
      </w:r>
    </w:p>
    <w:p w14:paraId="34DF8F0E">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1、因履行本合同引起的或与本合同有关的争议，甲、乙双方应首先通过友好协商解决，如果协商不能解决争议，则采取以下第（</w:t>
      </w:r>
      <w:r>
        <w:rPr>
          <w:rFonts w:ascii="仿宋" w:hAnsi="仿宋" w:eastAsia="仿宋" w:cs="宋体"/>
          <w:sz w:val="24"/>
        </w:rPr>
        <w:t>2</w:t>
      </w:r>
      <w:r>
        <w:rPr>
          <w:rFonts w:hint="eastAsia" w:ascii="仿宋" w:hAnsi="仿宋" w:eastAsia="仿宋" w:cs="宋体"/>
          <w:sz w:val="24"/>
        </w:rPr>
        <w:t>）种方式解决争议：</w:t>
      </w:r>
    </w:p>
    <w:p w14:paraId="54B2EBBC">
      <w:pPr>
        <w:autoSpaceDE w:val="0"/>
        <w:autoSpaceDN w:val="0"/>
        <w:adjustRightInd w:val="0"/>
        <w:spacing w:line="360" w:lineRule="auto"/>
        <w:ind w:firstLine="560"/>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）向甲方所在地有管辖权的人民法院提起诉讼；</w:t>
      </w:r>
    </w:p>
    <w:p w14:paraId="64F85C3F">
      <w:pPr>
        <w:autoSpaceDE w:val="0"/>
        <w:autoSpaceDN w:val="0"/>
        <w:adjustRightInd w:val="0"/>
        <w:spacing w:line="360" w:lineRule="auto"/>
        <w:ind w:firstLine="560"/>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）向南通市仲裁委员会按其仲裁规则申请仲裁。</w:t>
      </w:r>
    </w:p>
    <w:p w14:paraId="14B2B055">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2、在仲裁期间，本合同应继续履行。</w:t>
      </w:r>
    </w:p>
    <w:p w14:paraId="67A6818D">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第十二条诚实信用</w:t>
      </w:r>
    </w:p>
    <w:p w14:paraId="77310025">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乙方应诚实信用，严格按照竞争性磋商文件要求和磋商承诺履行合同，不向甲方进行商业贿赂或者提供不正当利益。</w:t>
      </w:r>
    </w:p>
    <w:p w14:paraId="76731058">
      <w:pPr>
        <w:autoSpaceDE w:val="0"/>
        <w:autoSpaceDN w:val="0"/>
        <w:adjustRightInd w:val="0"/>
        <w:spacing w:line="360" w:lineRule="auto"/>
        <w:ind w:firstLine="420"/>
        <w:jc w:val="left"/>
        <w:rPr>
          <w:rFonts w:ascii="仿宋" w:hAnsi="仿宋" w:eastAsia="仿宋" w:cs="宋体"/>
          <w:sz w:val="24"/>
        </w:rPr>
      </w:pPr>
      <w:r>
        <w:rPr>
          <w:rFonts w:hint="eastAsia" w:ascii="仿宋" w:hAnsi="仿宋" w:eastAsia="仿宋" w:cs="宋体"/>
          <w:sz w:val="24"/>
        </w:rPr>
        <w:t>第十三条合同生效及其他</w:t>
      </w:r>
    </w:p>
    <w:p w14:paraId="7FD5DD7C">
      <w:pPr>
        <w:autoSpaceDE w:val="0"/>
        <w:autoSpaceDN w:val="0"/>
        <w:adjustRightInd w:val="0"/>
        <w:spacing w:line="360" w:lineRule="auto"/>
        <w:ind w:firstLine="420"/>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、本合同自签订之日起生效。</w:t>
      </w:r>
    </w:p>
    <w:p w14:paraId="74252944">
      <w:pPr>
        <w:autoSpaceDE w:val="0"/>
        <w:autoSpaceDN w:val="0"/>
        <w:adjustRightInd w:val="0"/>
        <w:spacing w:line="360" w:lineRule="auto"/>
        <w:ind w:firstLine="420"/>
        <w:jc w:val="left"/>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、本合同一式四份，甲乙双方各执贰份。</w:t>
      </w:r>
    </w:p>
    <w:p w14:paraId="134FF156">
      <w:pPr>
        <w:autoSpaceDE w:val="0"/>
        <w:autoSpaceDN w:val="0"/>
        <w:adjustRightInd w:val="0"/>
        <w:spacing w:line="360" w:lineRule="auto"/>
        <w:ind w:firstLine="420"/>
        <w:jc w:val="left"/>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、本合同应按照中华人民共和国的现行法律进行解释。</w:t>
      </w:r>
    </w:p>
    <w:p w14:paraId="78B1E3FE">
      <w:pPr>
        <w:autoSpaceDE w:val="0"/>
        <w:autoSpaceDN w:val="0"/>
        <w:adjustRightInd w:val="0"/>
        <w:ind w:firstLine="420"/>
        <w:jc w:val="left"/>
        <w:rPr>
          <w:rFonts w:ascii="仿宋" w:hAnsi="仿宋" w:eastAsia="仿宋" w:cs="宋体"/>
          <w:sz w:val="24"/>
        </w:rPr>
      </w:pPr>
    </w:p>
    <w:tbl>
      <w:tblPr>
        <w:tblStyle w:val="12"/>
        <w:tblW w:w="9286" w:type="dxa"/>
        <w:jc w:val="center"/>
        <w:tblLayout w:type="fixed"/>
        <w:tblCellMar>
          <w:top w:w="0" w:type="dxa"/>
          <w:left w:w="108" w:type="dxa"/>
          <w:bottom w:w="0" w:type="dxa"/>
          <w:right w:w="108" w:type="dxa"/>
        </w:tblCellMar>
      </w:tblPr>
      <w:tblGrid>
        <w:gridCol w:w="4643"/>
        <w:gridCol w:w="4643"/>
      </w:tblGrid>
      <w:tr w14:paraId="404B5D74">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40788927">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甲方（采购人）：（盖章）</w:t>
            </w:r>
          </w:p>
        </w:tc>
        <w:tc>
          <w:tcPr>
            <w:tcW w:w="4643" w:type="dxa"/>
            <w:tcBorders>
              <w:top w:val="nil"/>
              <w:left w:val="nil"/>
              <w:bottom w:val="nil"/>
              <w:right w:val="nil"/>
            </w:tcBorders>
          </w:tcPr>
          <w:p w14:paraId="4E85813E">
            <w:pPr>
              <w:autoSpaceDE w:val="0"/>
              <w:autoSpaceDN w:val="0"/>
              <w:adjustRightInd w:val="0"/>
              <w:jc w:val="left"/>
              <w:rPr>
                <w:rFonts w:ascii="仿宋" w:hAnsi="仿宋" w:eastAsia="仿宋" w:cs="宋体"/>
                <w:sz w:val="24"/>
              </w:rPr>
            </w:pPr>
            <w:r>
              <w:rPr>
                <w:rFonts w:hint="eastAsia" w:ascii="仿宋" w:hAnsi="仿宋" w:eastAsia="仿宋" w:cs="宋体"/>
                <w:sz w:val="24"/>
              </w:rPr>
              <w:t>乙方（供应商）：（盖章）</w:t>
            </w:r>
          </w:p>
        </w:tc>
      </w:tr>
      <w:tr w14:paraId="751CFA41">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0EB4C57F">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代表人：</w:t>
            </w:r>
          </w:p>
        </w:tc>
        <w:tc>
          <w:tcPr>
            <w:tcW w:w="4643" w:type="dxa"/>
            <w:tcBorders>
              <w:top w:val="nil"/>
              <w:left w:val="nil"/>
              <w:bottom w:val="nil"/>
              <w:right w:val="nil"/>
            </w:tcBorders>
          </w:tcPr>
          <w:p w14:paraId="496ECD0A">
            <w:pPr>
              <w:autoSpaceDE w:val="0"/>
              <w:autoSpaceDN w:val="0"/>
              <w:adjustRightInd w:val="0"/>
              <w:jc w:val="left"/>
              <w:rPr>
                <w:rFonts w:ascii="仿宋" w:hAnsi="仿宋" w:eastAsia="仿宋" w:cs="宋体"/>
                <w:sz w:val="24"/>
              </w:rPr>
            </w:pPr>
            <w:r>
              <w:rPr>
                <w:rFonts w:hint="eastAsia" w:ascii="仿宋" w:hAnsi="仿宋" w:eastAsia="仿宋" w:cs="宋体"/>
                <w:sz w:val="24"/>
              </w:rPr>
              <w:t>代表人：</w:t>
            </w:r>
          </w:p>
        </w:tc>
      </w:tr>
      <w:tr w14:paraId="32C0B62F">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77C285EF">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电话：</w:t>
            </w:r>
          </w:p>
        </w:tc>
        <w:tc>
          <w:tcPr>
            <w:tcW w:w="4643" w:type="dxa"/>
            <w:tcBorders>
              <w:top w:val="nil"/>
              <w:left w:val="nil"/>
              <w:bottom w:val="nil"/>
              <w:right w:val="nil"/>
            </w:tcBorders>
          </w:tcPr>
          <w:p w14:paraId="32090F69">
            <w:pPr>
              <w:autoSpaceDE w:val="0"/>
              <w:autoSpaceDN w:val="0"/>
              <w:adjustRightInd w:val="0"/>
              <w:jc w:val="left"/>
              <w:rPr>
                <w:rFonts w:ascii="仿宋" w:hAnsi="仿宋" w:eastAsia="仿宋" w:cs="宋体"/>
                <w:sz w:val="24"/>
              </w:rPr>
            </w:pPr>
            <w:r>
              <w:rPr>
                <w:rFonts w:hint="eastAsia" w:ascii="仿宋" w:hAnsi="仿宋" w:eastAsia="仿宋" w:cs="宋体"/>
                <w:sz w:val="24"/>
              </w:rPr>
              <w:t>电话：</w:t>
            </w:r>
          </w:p>
        </w:tc>
      </w:tr>
      <w:tr w14:paraId="3BB490B3">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2370B991">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开户银行：</w:t>
            </w:r>
          </w:p>
        </w:tc>
        <w:tc>
          <w:tcPr>
            <w:tcW w:w="4643" w:type="dxa"/>
            <w:tcBorders>
              <w:top w:val="nil"/>
              <w:left w:val="nil"/>
              <w:bottom w:val="nil"/>
              <w:right w:val="nil"/>
            </w:tcBorders>
          </w:tcPr>
          <w:p w14:paraId="13B91F2B">
            <w:pPr>
              <w:autoSpaceDE w:val="0"/>
              <w:autoSpaceDN w:val="0"/>
              <w:adjustRightInd w:val="0"/>
              <w:jc w:val="left"/>
              <w:rPr>
                <w:rFonts w:ascii="仿宋" w:hAnsi="仿宋" w:eastAsia="仿宋" w:cs="宋体"/>
                <w:sz w:val="24"/>
              </w:rPr>
            </w:pPr>
            <w:r>
              <w:rPr>
                <w:rFonts w:hint="eastAsia" w:ascii="仿宋" w:hAnsi="仿宋" w:eastAsia="仿宋" w:cs="宋体"/>
                <w:sz w:val="24"/>
              </w:rPr>
              <w:t>开户银行：</w:t>
            </w:r>
          </w:p>
        </w:tc>
      </w:tr>
      <w:tr w14:paraId="3E10BE9B">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52B15A29">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帐号：</w:t>
            </w:r>
          </w:p>
        </w:tc>
        <w:tc>
          <w:tcPr>
            <w:tcW w:w="4643" w:type="dxa"/>
            <w:tcBorders>
              <w:top w:val="nil"/>
              <w:left w:val="nil"/>
              <w:bottom w:val="nil"/>
              <w:right w:val="nil"/>
            </w:tcBorders>
          </w:tcPr>
          <w:p w14:paraId="59A605B6">
            <w:pPr>
              <w:autoSpaceDE w:val="0"/>
              <w:autoSpaceDN w:val="0"/>
              <w:adjustRightInd w:val="0"/>
              <w:jc w:val="left"/>
              <w:rPr>
                <w:rFonts w:ascii="仿宋" w:hAnsi="仿宋" w:eastAsia="仿宋" w:cs="宋体"/>
                <w:sz w:val="24"/>
              </w:rPr>
            </w:pPr>
            <w:r>
              <w:rPr>
                <w:rFonts w:hint="eastAsia" w:ascii="仿宋" w:hAnsi="仿宋" w:eastAsia="仿宋" w:cs="宋体"/>
                <w:sz w:val="24"/>
              </w:rPr>
              <w:t>帐号：</w:t>
            </w:r>
          </w:p>
        </w:tc>
      </w:tr>
      <w:tr w14:paraId="06785D42">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426D3ECA">
            <w:pPr>
              <w:autoSpaceDE w:val="0"/>
              <w:autoSpaceDN w:val="0"/>
              <w:adjustRightInd w:val="0"/>
              <w:spacing w:line="360" w:lineRule="auto"/>
              <w:jc w:val="left"/>
              <w:rPr>
                <w:rFonts w:ascii="仿宋" w:hAnsi="仿宋" w:eastAsia="仿宋" w:cs="宋体"/>
                <w:sz w:val="24"/>
              </w:rPr>
            </w:pPr>
          </w:p>
        </w:tc>
        <w:tc>
          <w:tcPr>
            <w:tcW w:w="4643" w:type="dxa"/>
            <w:tcBorders>
              <w:top w:val="nil"/>
              <w:left w:val="nil"/>
              <w:bottom w:val="nil"/>
              <w:right w:val="nil"/>
            </w:tcBorders>
          </w:tcPr>
          <w:p w14:paraId="0BC1B7A6">
            <w:pPr>
              <w:autoSpaceDE w:val="0"/>
              <w:autoSpaceDN w:val="0"/>
              <w:adjustRightInd w:val="0"/>
              <w:jc w:val="left"/>
              <w:rPr>
                <w:rFonts w:ascii="仿宋" w:hAnsi="仿宋" w:eastAsia="仿宋" w:cs="宋体"/>
                <w:sz w:val="24"/>
              </w:rPr>
            </w:pPr>
          </w:p>
        </w:tc>
      </w:tr>
      <w:tr w14:paraId="77748EDB">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2F4BB409">
            <w:pPr>
              <w:autoSpaceDE w:val="0"/>
              <w:autoSpaceDN w:val="0"/>
              <w:adjustRightInd w:val="0"/>
              <w:spacing w:line="360" w:lineRule="auto"/>
              <w:jc w:val="left"/>
              <w:rPr>
                <w:rFonts w:ascii="仿宋" w:hAnsi="仿宋" w:eastAsia="仿宋" w:cs="宋体"/>
                <w:sz w:val="24"/>
              </w:rPr>
            </w:pPr>
          </w:p>
        </w:tc>
        <w:tc>
          <w:tcPr>
            <w:tcW w:w="4643" w:type="dxa"/>
            <w:tcBorders>
              <w:top w:val="nil"/>
              <w:left w:val="nil"/>
              <w:bottom w:val="nil"/>
              <w:right w:val="nil"/>
            </w:tcBorders>
          </w:tcPr>
          <w:p w14:paraId="55177B75">
            <w:pPr>
              <w:autoSpaceDE w:val="0"/>
              <w:autoSpaceDN w:val="0"/>
              <w:adjustRightInd w:val="0"/>
              <w:jc w:val="left"/>
              <w:rPr>
                <w:rFonts w:ascii="仿宋" w:hAnsi="仿宋" w:eastAsia="仿宋" w:cs="宋体"/>
                <w:sz w:val="24"/>
              </w:rPr>
            </w:pPr>
          </w:p>
        </w:tc>
      </w:tr>
      <w:tr w14:paraId="6BFECC8A">
        <w:tblPrEx>
          <w:tblCellMar>
            <w:top w:w="0" w:type="dxa"/>
            <w:left w:w="108" w:type="dxa"/>
            <w:bottom w:w="0" w:type="dxa"/>
            <w:right w:w="108" w:type="dxa"/>
          </w:tblCellMar>
        </w:tblPrEx>
        <w:trPr>
          <w:jc w:val="center"/>
        </w:trPr>
        <w:tc>
          <w:tcPr>
            <w:tcW w:w="4643" w:type="dxa"/>
            <w:tcBorders>
              <w:top w:val="nil"/>
              <w:left w:val="nil"/>
              <w:bottom w:val="nil"/>
              <w:right w:val="nil"/>
            </w:tcBorders>
          </w:tcPr>
          <w:p w14:paraId="476933A4">
            <w:pPr>
              <w:autoSpaceDE w:val="0"/>
              <w:autoSpaceDN w:val="0"/>
              <w:adjustRightInd w:val="0"/>
              <w:spacing w:line="360" w:lineRule="auto"/>
              <w:jc w:val="left"/>
              <w:rPr>
                <w:rFonts w:ascii="仿宋" w:hAnsi="仿宋" w:eastAsia="仿宋" w:cs="宋体"/>
                <w:sz w:val="24"/>
              </w:rPr>
            </w:pPr>
            <w:r>
              <w:rPr>
                <w:rFonts w:hint="eastAsia" w:ascii="仿宋" w:hAnsi="仿宋" w:eastAsia="仿宋" w:cs="宋体"/>
                <w:sz w:val="24"/>
              </w:rPr>
              <w:t>日期：年月日</w:t>
            </w:r>
          </w:p>
        </w:tc>
        <w:tc>
          <w:tcPr>
            <w:tcW w:w="4643" w:type="dxa"/>
            <w:tcBorders>
              <w:top w:val="nil"/>
              <w:left w:val="nil"/>
              <w:bottom w:val="nil"/>
              <w:right w:val="nil"/>
            </w:tcBorders>
          </w:tcPr>
          <w:p w14:paraId="1E39BF25">
            <w:pPr>
              <w:autoSpaceDE w:val="0"/>
              <w:autoSpaceDN w:val="0"/>
              <w:adjustRightInd w:val="0"/>
              <w:jc w:val="left"/>
              <w:rPr>
                <w:rFonts w:ascii="仿宋" w:hAnsi="仿宋" w:eastAsia="仿宋" w:cs="宋体"/>
                <w:sz w:val="24"/>
              </w:rPr>
            </w:pPr>
          </w:p>
        </w:tc>
      </w:tr>
    </w:tbl>
    <w:p w14:paraId="3660AFCD">
      <w:pPr>
        <w:snapToGrid w:val="0"/>
        <w:spacing w:line="440" w:lineRule="exact"/>
        <w:ind w:firstLine="880" w:firstLineChars="200"/>
        <w:rPr>
          <w:rFonts w:ascii="仿宋" w:hAnsi="仿宋" w:eastAsia="仿宋" w:cs="仿宋"/>
          <w:bCs/>
          <w:kern w:val="2"/>
          <w:sz w:val="24"/>
          <w:szCs w:val="24"/>
          <w:lang w:bidi="ar-SA"/>
        </w:rPr>
      </w:pPr>
      <w:r>
        <w:rPr>
          <w:rFonts w:ascii="仿宋" w:hAnsi="仿宋" w:eastAsia="仿宋"/>
          <w:sz w:val="44"/>
          <w:szCs w:val="44"/>
        </w:rPr>
        <w:br w:type="page"/>
      </w:r>
    </w:p>
    <w:p w14:paraId="4CCAA8BB">
      <w:pPr>
        <w:pStyle w:val="14"/>
        <w:widowControl/>
        <w:numPr>
          <w:ilvl w:val="0"/>
          <w:numId w:val="1"/>
        </w:numPr>
        <w:jc w:val="center"/>
        <w:rPr>
          <w:rFonts w:ascii="仿宋" w:hAnsi="仿宋" w:eastAsia="仿宋"/>
          <w:b/>
          <w:bCs/>
          <w:sz w:val="32"/>
          <w:szCs w:val="32"/>
        </w:rPr>
      </w:pPr>
      <w:r>
        <w:rPr>
          <w:rFonts w:ascii="仿宋" w:hAnsi="仿宋" w:eastAsia="仿宋"/>
          <w:b/>
          <w:bCs/>
          <w:sz w:val="32"/>
          <w:szCs w:val="32"/>
        </w:rPr>
        <w:t xml:space="preserve"> 项目需求</w:t>
      </w:r>
    </w:p>
    <w:p w14:paraId="1E855CA8">
      <w:pPr>
        <w:spacing w:line="360" w:lineRule="auto"/>
        <w:ind w:firstLine="600" w:firstLineChars="249"/>
        <w:rPr>
          <w:rFonts w:ascii="仿宋" w:hAnsi="仿宋" w:eastAsia="仿宋"/>
          <w:sz w:val="24"/>
        </w:rPr>
      </w:pPr>
      <w:r>
        <w:rPr>
          <w:rFonts w:hint="eastAsia" w:ascii="仿宋" w:hAnsi="仿宋" w:eastAsia="仿宋"/>
          <w:b/>
          <w:sz w:val="24"/>
        </w:rPr>
        <w:t>请投标人在制作投标文件时仔细研究项目需求说明</w:t>
      </w:r>
      <w:r>
        <w:rPr>
          <w:rFonts w:hint="eastAsia" w:ascii="仿宋" w:hAnsi="仿宋" w:eastAsia="仿宋"/>
          <w:sz w:val="24"/>
        </w:rPr>
        <w:t>。投标人不能简单照搬照抄采购单位项目需求说明中的技术、商务要求，必须作实事求是的响应。如照搬照抄项目需求说明中的技术、商务要求的，成家供应商在与采购单位签订合同和履约环节中不得提出任何异议，一切后果和损失由成交供应商承担。如投标人提供的服务同采购单位提出的项目需求说明中的技术、商务要求不同的，必须在《商务部分偏离表》上明示，如不明示的视同完全响应。</w:t>
      </w:r>
    </w:p>
    <w:p w14:paraId="2521F726">
      <w:pPr>
        <w:pStyle w:val="5"/>
        <w:numPr>
          <w:ilvl w:val="0"/>
          <w:numId w:val="2"/>
        </w:numPr>
        <w:spacing w:before="120" w:after="120" w:line="360" w:lineRule="auto"/>
        <w:rPr>
          <w:rFonts w:ascii="仿宋" w:hAnsi="仿宋" w:eastAsia="仿宋" w:cs="黑体"/>
          <w:b w:val="0"/>
          <w:bCs w:val="0"/>
          <w:sz w:val="24"/>
          <w:szCs w:val="24"/>
        </w:rPr>
      </w:pPr>
      <w:r>
        <w:rPr>
          <w:rFonts w:hint="eastAsia" w:ascii="仿宋" w:hAnsi="仿宋" w:eastAsia="仿宋" w:cs="黑体"/>
          <w:b w:val="0"/>
          <w:bCs w:val="0"/>
          <w:sz w:val="24"/>
          <w:szCs w:val="24"/>
        </w:rPr>
        <w:t>项目概况</w:t>
      </w:r>
    </w:p>
    <w:p w14:paraId="731E1015">
      <w:pPr>
        <w:numPr>
          <w:ilvl w:val="0"/>
          <w:numId w:val="3"/>
        </w:numPr>
        <w:spacing w:line="360" w:lineRule="auto"/>
        <w:rPr>
          <w:rFonts w:ascii="仿宋" w:hAnsi="仿宋" w:eastAsia="仿宋" w:cs="楷体"/>
          <w:sz w:val="24"/>
          <w:szCs w:val="24"/>
        </w:rPr>
      </w:pPr>
      <w:r>
        <w:rPr>
          <w:rFonts w:hint="eastAsia" w:ascii="仿宋" w:hAnsi="仿宋" w:eastAsia="仿宋" w:cs="楷体"/>
          <w:sz w:val="24"/>
          <w:szCs w:val="24"/>
        </w:rPr>
        <w:t>短期疗养工作体检项目</w:t>
      </w:r>
    </w:p>
    <w:p w14:paraId="53B2B3D2">
      <w:pPr>
        <w:pStyle w:val="5"/>
        <w:spacing w:before="0" w:after="0" w:line="360" w:lineRule="auto"/>
        <w:ind w:left="642"/>
        <w:rPr>
          <w:rFonts w:ascii="仿宋" w:hAnsi="仿宋" w:eastAsia="仿宋" w:cs="仿宋"/>
          <w:b w:val="0"/>
          <w:sz w:val="24"/>
          <w:szCs w:val="24"/>
        </w:rPr>
      </w:pPr>
      <w:r>
        <w:rPr>
          <w:rFonts w:hint="eastAsia" w:ascii="仿宋" w:hAnsi="仿宋" w:eastAsia="仿宋" w:cs="仿宋"/>
          <w:b w:val="0"/>
          <w:sz w:val="24"/>
          <w:szCs w:val="24"/>
        </w:rPr>
        <w:t>体检对象：优抚对象。</w:t>
      </w:r>
    </w:p>
    <w:p w14:paraId="763E6DB4">
      <w:pPr>
        <w:pStyle w:val="5"/>
        <w:spacing w:before="0" w:after="0" w:line="360" w:lineRule="auto"/>
        <w:ind w:left="642"/>
        <w:rPr>
          <w:rFonts w:ascii="仿宋" w:hAnsi="仿宋" w:eastAsia="仿宋" w:cs="楷体"/>
          <w:b w:val="0"/>
          <w:sz w:val="24"/>
          <w:szCs w:val="24"/>
        </w:rPr>
      </w:pPr>
      <w:r>
        <w:rPr>
          <w:rFonts w:hint="eastAsia" w:ascii="仿宋" w:hAnsi="仿宋" w:eastAsia="仿宋" w:cs="楷体"/>
          <w:b w:val="0"/>
          <w:sz w:val="24"/>
          <w:szCs w:val="24"/>
        </w:rPr>
        <w:t>（二）服务内容</w:t>
      </w:r>
    </w:p>
    <w:p w14:paraId="684C9B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1、开展健康检查。根据个人或监护人提供的病情状况，对其进行体检，免费提供心电图、B超、血常规、肝功能、肾功能、血糖、血脂及内科、外科、五官科、CT等项目检查。（体检项目详见附件）</w:t>
      </w:r>
    </w:p>
    <w:p w14:paraId="66F7CC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2、建立健康档案。对服务的对象，核查健康档案建立情况，及时采集个人基本情况，开展健康检查，补建健康档案；对已经建立健康档案的，及时更新维护健康档案信息。</w:t>
      </w:r>
    </w:p>
    <w:p w14:paraId="7B629BC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开展医疗咨询指导。针对个人情况，进行健康评估，提供常见病、多发病咨询服务，生活常识、医疗保健的指导，特别对于本次重点优抚对象，需提供专业性的康复指导、医院内部康复转诊绿色通道以及远程专家会诊的优先权。</w:t>
      </w:r>
    </w:p>
    <w:p w14:paraId="4DF09C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4、普及保健知识。开展形式多样、简明易懂的健康教育活动，组织健康知识宣讲、讲座，发放宣传资料，提高优抚对象自我防控疾病的主动性、积极性。</w:t>
      </w:r>
    </w:p>
    <w:p w14:paraId="3E4E1D90">
      <w:pPr>
        <w:spacing w:line="360" w:lineRule="auto"/>
        <w:ind w:firstLine="720" w:firstLineChars="300"/>
        <w:rPr>
          <w:rFonts w:ascii="仿宋" w:hAnsi="仿宋" w:eastAsia="仿宋" w:cs="仿宋"/>
          <w:sz w:val="24"/>
          <w:szCs w:val="24"/>
        </w:rPr>
      </w:pPr>
      <w:r>
        <w:rPr>
          <w:rFonts w:hint="eastAsia" w:ascii="仿宋" w:hAnsi="仿宋" w:eastAsia="仿宋" w:cs="楷体"/>
          <w:sz w:val="24"/>
          <w:szCs w:val="24"/>
        </w:rPr>
        <w:t>（三）时间和地点及安排</w:t>
      </w:r>
    </w:p>
    <w:p w14:paraId="4F716C7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时间：以采购人通知为准</w:t>
      </w:r>
    </w:p>
    <w:p w14:paraId="70B391B0">
      <w:pPr>
        <w:tabs>
          <w:tab w:val="left" w:pos="893"/>
        </w:tabs>
        <w:spacing w:line="360" w:lineRule="auto"/>
        <w:ind w:firstLine="480" w:firstLineChars="200"/>
        <w:rPr>
          <w:rFonts w:ascii="仿宋" w:hAnsi="仿宋" w:eastAsia="仿宋"/>
          <w:sz w:val="24"/>
          <w:szCs w:val="24"/>
        </w:rPr>
      </w:pPr>
      <w:r>
        <w:rPr>
          <w:rFonts w:hint="eastAsia" w:ascii="仿宋" w:hAnsi="仿宋" w:eastAsia="仿宋" w:cs="仿宋"/>
          <w:sz w:val="24"/>
          <w:szCs w:val="24"/>
          <w:shd w:val="clear" w:color="auto" w:fill="FFFFFF"/>
        </w:rPr>
        <w:t>地点：</w:t>
      </w:r>
      <w:r>
        <w:rPr>
          <w:rFonts w:hint="eastAsia" w:ascii="仿宋" w:hAnsi="仿宋" w:eastAsia="仿宋" w:cs="仿宋"/>
          <w:sz w:val="24"/>
          <w:szCs w:val="24"/>
        </w:rPr>
        <w:t>以采购人通知为准</w:t>
      </w:r>
      <w:r>
        <w:rPr>
          <w:rFonts w:hint="eastAsia" w:ascii="仿宋" w:hAnsi="仿宋" w:eastAsia="仿宋" w:cs="仿宋"/>
          <w:sz w:val="24"/>
          <w:szCs w:val="24"/>
          <w:shd w:val="clear" w:color="auto" w:fill="FFFFFF"/>
        </w:rPr>
        <w:t>。</w:t>
      </w:r>
    </w:p>
    <w:p w14:paraId="510286C9">
      <w:pPr>
        <w:pStyle w:val="5"/>
        <w:numPr>
          <w:ilvl w:val="0"/>
          <w:numId w:val="2"/>
        </w:numPr>
        <w:spacing w:before="0" w:after="0" w:line="360" w:lineRule="auto"/>
        <w:ind w:left="641"/>
        <w:rPr>
          <w:rFonts w:ascii="仿宋" w:hAnsi="仿宋" w:eastAsia="仿宋" w:cs="黑体"/>
          <w:b w:val="0"/>
          <w:bCs w:val="0"/>
          <w:sz w:val="24"/>
          <w:szCs w:val="24"/>
        </w:rPr>
      </w:pPr>
      <w:r>
        <w:rPr>
          <w:rFonts w:hint="eastAsia" w:ascii="仿宋" w:hAnsi="仿宋" w:eastAsia="仿宋" w:cs="黑体"/>
          <w:b w:val="0"/>
          <w:bCs w:val="0"/>
          <w:sz w:val="24"/>
          <w:szCs w:val="24"/>
        </w:rPr>
        <w:t>项目要求</w:t>
      </w:r>
    </w:p>
    <w:p w14:paraId="52E1A811">
      <w:pPr>
        <w:pStyle w:val="5"/>
        <w:spacing w:before="0" w:after="0" w:line="360" w:lineRule="auto"/>
        <w:ind w:firstLine="480" w:firstLineChars="200"/>
        <w:rPr>
          <w:rFonts w:ascii="仿宋" w:hAnsi="仿宋" w:eastAsia="仿宋" w:cs="楷体"/>
          <w:b w:val="0"/>
          <w:sz w:val="24"/>
          <w:szCs w:val="24"/>
        </w:rPr>
      </w:pPr>
      <w:r>
        <w:rPr>
          <w:rFonts w:hint="eastAsia" w:ascii="仿宋" w:hAnsi="仿宋" w:eastAsia="仿宋" w:cs="楷体"/>
          <w:b w:val="0"/>
          <w:sz w:val="24"/>
          <w:szCs w:val="24"/>
        </w:rPr>
        <w:t>（一）服务标准</w:t>
      </w:r>
    </w:p>
    <w:p w14:paraId="5D77A20A">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、每批次体检人员配备：医生不少于</w:t>
      </w:r>
      <w:r>
        <w:rPr>
          <w:rFonts w:ascii="仿宋" w:hAnsi="仿宋" w:eastAsia="仿宋" w:cs="仿宋"/>
          <w:sz w:val="24"/>
          <w:szCs w:val="24"/>
        </w:rPr>
        <w:t>4</w:t>
      </w:r>
      <w:r>
        <w:rPr>
          <w:rFonts w:hint="eastAsia" w:ascii="仿宋" w:hAnsi="仿宋" w:eastAsia="仿宋" w:cs="仿宋"/>
          <w:sz w:val="24"/>
          <w:szCs w:val="24"/>
        </w:rPr>
        <w:t>名，护士不少于</w:t>
      </w:r>
      <w:r>
        <w:rPr>
          <w:rFonts w:ascii="仿宋" w:hAnsi="仿宋" w:eastAsia="仿宋" w:cs="仿宋"/>
          <w:sz w:val="24"/>
          <w:szCs w:val="24"/>
        </w:rPr>
        <w:t>6</w:t>
      </w:r>
      <w:r>
        <w:rPr>
          <w:rFonts w:hint="eastAsia" w:ascii="仿宋" w:hAnsi="仿宋" w:eastAsia="仿宋" w:cs="仿宋"/>
          <w:sz w:val="24"/>
          <w:szCs w:val="24"/>
        </w:rPr>
        <w:t>名。</w:t>
      </w:r>
    </w:p>
    <w:p w14:paraId="0699E36F">
      <w:pPr>
        <w:pStyle w:val="5"/>
        <w:tabs>
          <w:tab w:val="right" w:pos="9127"/>
        </w:tabs>
        <w:spacing w:before="0" w:after="0" w:line="360" w:lineRule="auto"/>
        <w:rPr>
          <w:rFonts w:ascii="仿宋" w:hAnsi="仿宋" w:eastAsia="仿宋" w:cs="仿宋"/>
          <w:b w:val="0"/>
          <w:sz w:val="24"/>
          <w:szCs w:val="24"/>
        </w:rPr>
      </w:pPr>
      <w:r>
        <w:rPr>
          <w:rFonts w:hint="eastAsia" w:ascii="仿宋" w:hAnsi="仿宋" w:eastAsia="仿宋" w:cs="仿宋"/>
          <w:b w:val="0"/>
          <w:sz w:val="24"/>
          <w:szCs w:val="24"/>
        </w:rPr>
        <w:t xml:space="preserve">    </w:t>
      </w:r>
      <w:r>
        <w:rPr>
          <w:rFonts w:ascii="仿宋" w:hAnsi="仿宋" w:eastAsia="仿宋" w:cs="仿宋"/>
          <w:b w:val="0"/>
          <w:sz w:val="24"/>
          <w:szCs w:val="24"/>
        </w:rPr>
        <w:t>2</w:t>
      </w:r>
      <w:r>
        <w:rPr>
          <w:rFonts w:hint="eastAsia" w:ascii="仿宋" w:hAnsi="仿宋" w:eastAsia="仿宋" w:cs="仿宋"/>
          <w:b w:val="0"/>
          <w:sz w:val="24"/>
          <w:szCs w:val="24"/>
        </w:rPr>
        <w:t>、为每人配备一份营养早餐（不低于10元/人）。</w:t>
      </w:r>
    </w:p>
    <w:p w14:paraId="18E16033">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、健康体检期间须派一名具有高级职称的内科医生作为现场咨询专家，要求专家耐心细致，能认真回答体检对象的相关疑问。</w:t>
      </w:r>
    </w:p>
    <w:p w14:paraId="3B7BDB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4、根据采购人组织的疗养行程安排，每批次疗养须安排专业医生开展健康知识讲座，要求专家耐心细致，能认真回答体检对象的相关疑问。</w:t>
      </w:r>
    </w:p>
    <w:p w14:paraId="4E0BF371">
      <w:pPr>
        <w:pStyle w:val="2"/>
        <w:ind w:left="0" w:leftChars="0" w:firstLine="480" w:firstLineChars="200"/>
        <w:rPr>
          <w:rFonts w:ascii="仿宋" w:hAnsi="仿宋" w:eastAsia="仿宋" w:cs="仿宋"/>
          <w:sz w:val="24"/>
          <w:szCs w:val="24"/>
          <w:lang w:bidi="hi-IN"/>
        </w:rPr>
      </w:pPr>
      <w:r>
        <w:rPr>
          <w:rFonts w:hint="eastAsia" w:ascii="仿宋" w:hAnsi="仿宋" w:eastAsia="仿宋" w:cs="仿宋"/>
          <w:sz w:val="24"/>
          <w:szCs w:val="24"/>
          <w:lang w:bidi="hi-IN"/>
        </w:rPr>
        <w:t>5、体检报告须出具一式两份，一份由投标供应商交给各县市区，一份交给采购人。</w:t>
      </w:r>
    </w:p>
    <w:p w14:paraId="4ABCFAB8">
      <w:pPr>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附件：</w:t>
      </w:r>
      <w:r>
        <w:rPr>
          <w:rFonts w:hint="eastAsia" w:ascii="黑体" w:hAnsi="黑体" w:eastAsia="黑体" w:cs="宋体"/>
          <w:sz w:val="40"/>
          <w:szCs w:val="40"/>
        </w:rPr>
        <w:t xml:space="preserve"> </w:t>
      </w:r>
      <w:r>
        <w:rPr>
          <w:rFonts w:hint="eastAsia" w:ascii="仿宋" w:hAnsi="仿宋" w:eastAsia="仿宋" w:cs="仿宋"/>
          <w:sz w:val="24"/>
          <w:szCs w:val="24"/>
        </w:rPr>
        <w:t>2024～2025年优抚对象短期疗养工作体检项目</w:t>
      </w:r>
      <w:r>
        <w:rPr>
          <w:rFonts w:hint="eastAsia" w:ascii="仿宋" w:hAnsi="仿宋" w:eastAsia="仿宋" w:cs="仿宋"/>
          <w:sz w:val="24"/>
          <w:szCs w:val="24"/>
          <w:lang w:eastAsia="zh-CN"/>
        </w:rPr>
        <w:t>（第三次）</w:t>
      </w:r>
    </w:p>
    <w:p w14:paraId="6F4BD788">
      <w:pPr>
        <w:spacing w:line="360" w:lineRule="auto"/>
        <w:ind w:firstLine="3600" w:firstLineChars="1500"/>
        <w:rPr>
          <w:rFonts w:ascii="仿宋" w:hAnsi="仿宋" w:eastAsia="仿宋" w:cs="仿宋"/>
          <w:bCs/>
          <w:sz w:val="24"/>
          <w:szCs w:val="24"/>
          <w:shd w:val="clear" w:color="auto" w:fill="FFFFFF"/>
        </w:rPr>
      </w:pPr>
    </w:p>
    <w:p w14:paraId="748CBB71">
      <w:pPr>
        <w:ind w:left="456" w:leftChars="228"/>
        <w:rPr>
          <w:rFonts w:ascii="仿宋" w:hAnsi="仿宋" w:eastAsia="仿宋" w:cs="楷体"/>
          <w:sz w:val="24"/>
          <w:szCs w:val="24"/>
        </w:rPr>
      </w:pPr>
    </w:p>
    <w:p w14:paraId="6CE09143">
      <w:pPr>
        <w:widowControl/>
        <w:jc w:val="left"/>
        <w:rPr>
          <w:rFonts w:ascii="楷体" w:hAnsi="楷体" w:eastAsia="楷体" w:cs="楷体"/>
          <w:sz w:val="28"/>
          <w:szCs w:val="28"/>
        </w:rPr>
      </w:pPr>
      <w:r>
        <w:rPr>
          <w:rFonts w:ascii="楷体" w:hAnsi="楷体" w:eastAsia="楷体" w:cs="楷体"/>
          <w:sz w:val="28"/>
          <w:szCs w:val="28"/>
        </w:rPr>
        <w:br w:type="page"/>
      </w:r>
    </w:p>
    <w:p w14:paraId="3DF2F9D3">
      <w:pPr>
        <w:ind w:left="456" w:leftChars="228"/>
        <w:jc w:val="left"/>
        <w:rPr>
          <w:rFonts w:ascii="楷体" w:hAnsi="楷体" w:eastAsia="楷体" w:cs="楷体"/>
          <w:sz w:val="28"/>
          <w:szCs w:val="28"/>
        </w:rPr>
      </w:pPr>
      <w:r>
        <w:rPr>
          <w:rFonts w:hint="eastAsia" w:ascii="楷体" w:hAnsi="楷体" w:eastAsia="楷体" w:cs="楷体"/>
          <w:sz w:val="28"/>
          <w:szCs w:val="28"/>
        </w:rPr>
        <w:t>附件：</w:t>
      </w:r>
    </w:p>
    <w:tbl>
      <w:tblPr>
        <w:tblStyle w:val="12"/>
        <w:tblW w:w="9357" w:type="dxa"/>
        <w:tblInd w:w="-318" w:type="dxa"/>
        <w:tblLayout w:type="fixed"/>
        <w:tblCellMar>
          <w:top w:w="0" w:type="dxa"/>
          <w:left w:w="108" w:type="dxa"/>
          <w:bottom w:w="0" w:type="dxa"/>
          <w:right w:w="108" w:type="dxa"/>
        </w:tblCellMar>
      </w:tblPr>
      <w:tblGrid>
        <w:gridCol w:w="1419"/>
        <w:gridCol w:w="2976"/>
        <w:gridCol w:w="4962"/>
      </w:tblGrid>
      <w:tr w14:paraId="259344DD">
        <w:tblPrEx>
          <w:tblCellMar>
            <w:top w:w="0" w:type="dxa"/>
            <w:left w:w="108" w:type="dxa"/>
            <w:bottom w:w="0" w:type="dxa"/>
            <w:right w:w="108" w:type="dxa"/>
          </w:tblCellMar>
        </w:tblPrEx>
        <w:trPr>
          <w:trHeight w:val="645" w:hRule="atLeast"/>
        </w:trPr>
        <w:tc>
          <w:tcPr>
            <w:tcW w:w="9357" w:type="dxa"/>
            <w:gridSpan w:val="3"/>
            <w:tcBorders>
              <w:top w:val="nil"/>
              <w:left w:val="nil"/>
              <w:bottom w:val="nil"/>
              <w:right w:val="nil"/>
            </w:tcBorders>
            <w:shd w:val="clear" w:color="auto" w:fill="auto"/>
            <w:noWrap/>
            <w:vAlign w:val="center"/>
          </w:tcPr>
          <w:p w14:paraId="484BC9B7">
            <w:pPr>
              <w:widowControl/>
              <w:jc w:val="center"/>
              <w:rPr>
                <w:rFonts w:hint="eastAsia" w:ascii="黑体" w:hAnsi="黑体" w:eastAsia="黑体" w:cs="宋体"/>
                <w:sz w:val="40"/>
                <w:szCs w:val="40"/>
                <w:lang w:eastAsia="zh-CN"/>
              </w:rPr>
            </w:pPr>
            <w:r>
              <w:rPr>
                <w:rFonts w:hint="eastAsia" w:ascii="黑体" w:hAnsi="黑体" w:eastAsia="黑体" w:cs="宋体"/>
                <w:sz w:val="40"/>
                <w:szCs w:val="40"/>
              </w:rPr>
              <w:t xml:space="preserve">    2024～2025年优抚对象短期疗养工作体检项目</w:t>
            </w:r>
            <w:r>
              <w:rPr>
                <w:rFonts w:hint="eastAsia" w:ascii="黑体" w:hAnsi="黑体" w:eastAsia="黑体" w:cs="宋体"/>
                <w:sz w:val="40"/>
                <w:szCs w:val="40"/>
                <w:lang w:eastAsia="zh-CN"/>
              </w:rPr>
              <w:t>（第三次）</w:t>
            </w:r>
          </w:p>
        </w:tc>
      </w:tr>
      <w:tr w14:paraId="335CCB66">
        <w:tblPrEx>
          <w:tblCellMar>
            <w:top w:w="0" w:type="dxa"/>
            <w:left w:w="108" w:type="dxa"/>
            <w:bottom w:w="0" w:type="dxa"/>
            <w:right w:w="108" w:type="dxa"/>
          </w:tblCellMar>
        </w:tblPrEx>
        <w:trPr>
          <w:trHeight w:val="402" w:hRule="atLeast"/>
        </w:trPr>
        <w:tc>
          <w:tcPr>
            <w:tcW w:w="1419" w:type="dxa"/>
            <w:tcBorders>
              <w:top w:val="single" w:color="auto" w:sz="4" w:space="0"/>
              <w:left w:val="single" w:color="auto" w:sz="4" w:space="0"/>
              <w:bottom w:val="single" w:color="auto" w:sz="4" w:space="0"/>
              <w:right w:val="single" w:color="auto" w:sz="4" w:space="0"/>
            </w:tcBorders>
            <w:shd w:val="clear" w:color="000000" w:fill="BFBFBF"/>
            <w:vAlign w:val="center"/>
          </w:tcPr>
          <w:p w14:paraId="0278B484">
            <w:pPr>
              <w:widowControl/>
              <w:jc w:val="center"/>
              <w:rPr>
                <w:rFonts w:ascii="仿宋" w:hAnsi="仿宋" w:eastAsia="仿宋" w:cs="宋体"/>
              </w:rPr>
            </w:pPr>
            <w:r>
              <w:rPr>
                <w:rFonts w:hint="eastAsia" w:ascii="仿宋" w:hAnsi="仿宋" w:eastAsia="仿宋" w:cs="宋体"/>
              </w:rPr>
              <w:t>体检项目</w:t>
            </w:r>
          </w:p>
        </w:tc>
        <w:tc>
          <w:tcPr>
            <w:tcW w:w="2976" w:type="dxa"/>
            <w:tcBorders>
              <w:top w:val="single" w:color="auto" w:sz="4" w:space="0"/>
              <w:left w:val="nil"/>
              <w:bottom w:val="single" w:color="auto" w:sz="4" w:space="0"/>
              <w:right w:val="single" w:color="auto" w:sz="4" w:space="0"/>
            </w:tcBorders>
            <w:shd w:val="clear" w:color="000000" w:fill="BFBFBF"/>
            <w:vAlign w:val="center"/>
          </w:tcPr>
          <w:p w14:paraId="6F647570">
            <w:pPr>
              <w:widowControl/>
              <w:jc w:val="center"/>
              <w:rPr>
                <w:rFonts w:ascii="仿宋" w:hAnsi="仿宋" w:eastAsia="仿宋" w:cs="宋体"/>
              </w:rPr>
            </w:pPr>
            <w:r>
              <w:rPr>
                <w:rFonts w:hint="eastAsia" w:ascii="仿宋" w:hAnsi="仿宋" w:eastAsia="仿宋" w:cs="宋体"/>
              </w:rPr>
              <w:t>临床检查项目</w:t>
            </w:r>
          </w:p>
        </w:tc>
        <w:tc>
          <w:tcPr>
            <w:tcW w:w="4962" w:type="dxa"/>
            <w:tcBorders>
              <w:top w:val="single" w:color="auto" w:sz="4" w:space="0"/>
              <w:left w:val="nil"/>
              <w:bottom w:val="single" w:color="auto" w:sz="4" w:space="0"/>
              <w:right w:val="single" w:color="auto" w:sz="4" w:space="0"/>
            </w:tcBorders>
            <w:shd w:val="clear" w:color="000000" w:fill="BFBFBF"/>
            <w:vAlign w:val="center"/>
          </w:tcPr>
          <w:p w14:paraId="25773792">
            <w:pPr>
              <w:widowControl/>
              <w:jc w:val="center"/>
              <w:rPr>
                <w:rFonts w:ascii="仿宋" w:hAnsi="仿宋" w:eastAsia="仿宋" w:cs="宋体"/>
              </w:rPr>
            </w:pPr>
            <w:r>
              <w:rPr>
                <w:rFonts w:hint="eastAsia" w:ascii="仿宋" w:hAnsi="仿宋" w:eastAsia="仿宋" w:cs="宋体"/>
              </w:rPr>
              <w:t>临床意义</w:t>
            </w:r>
          </w:p>
        </w:tc>
      </w:tr>
      <w:tr w14:paraId="23546BAC">
        <w:tblPrEx>
          <w:tblCellMar>
            <w:top w:w="0" w:type="dxa"/>
            <w:left w:w="108" w:type="dxa"/>
            <w:bottom w:w="0" w:type="dxa"/>
            <w:right w:w="108" w:type="dxa"/>
          </w:tblCellMar>
        </w:tblPrEx>
        <w:trPr>
          <w:trHeight w:val="402"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2E015C1D">
            <w:pPr>
              <w:widowControl/>
              <w:jc w:val="center"/>
              <w:rPr>
                <w:rFonts w:ascii="仿宋" w:hAnsi="仿宋" w:eastAsia="仿宋" w:cs="宋体"/>
              </w:rPr>
            </w:pPr>
            <w:r>
              <w:rPr>
                <w:rFonts w:hint="eastAsia" w:ascii="仿宋" w:hAnsi="仿宋" w:eastAsia="仿宋" w:cs="宋体"/>
              </w:rPr>
              <w:t>血压检测</w:t>
            </w:r>
          </w:p>
        </w:tc>
        <w:tc>
          <w:tcPr>
            <w:tcW w:w="2976" w:type="dxa"/>
            <w:tcBorders>
              <w:top w:val="nil"/>
              <w:left w:val="nil"/>
              <w:bottom w:val="single" w:color="auto" w:sz="4" w:space="0"/>
              <w:right w:val="single" w:color="auto" w:sz="4" w:space="0"/>
            </w:tcBorders>
            <w:shd w:val="clear" w:color="auto" w:fill="auto"/>
            <w:vAlign w:val="center"/>
          </w:tcPr>
          <w:p w14:paraId="61FCC5B9">
            <w:pPr>
              <w:widowControl/>
              <w:jc w:val="left"/>
              <w:rPr>
                <w:rFonts w:ascii="仿宋" w:hAnsi="仿宋" w:eastAsia="仿宋" w:cs="宋体"/>
              </w:rPr>
            </w:pPr>
            <w:r>
              <w:rPr>
                <w:rFonts w:hint="eastAsia" w:ascii="仿宋" w:hAnsi="仿宋" w:eastAsia="仿宋" w:cs="宋体"/>
              </w:rPr>
              <w:t>血压</w:t>
            </w:r>
          </w:p>
        </w:tc>
        <w:tc>
          <w:tcPr>
            <w:tcW w:w="4962" w:type="dxa"/>
            <w:tcBorders>
              <w:top w:val="nil"/>
              <w:left w:val="nil"/>
              <w:bottom w:val="single" w:color="auto" w:sz="4" w:space="0"/>
              <w:right w:val="single" w:color="auto" w:sz="4" w:space="0"/>
            </w:tcBorders>
            <w:shd w:val="clear" w:color="auto" w:fill="auto"/>
            <w:vAlign w:val="center"/>
          </w:tcPr>
          <w:p w14:paraId="6E3DA983">
            <w:pPr>
              <w:widowControl/>
              <w:jc w:val="left"/>
              <w:rPr>
                <w:rFonts w:ascii="仿宋" w:hAnsi="仿宋" w:eastAsia="仿宋" w:cs="宋体"/>
              </w:rPr>
            </w:pPr>
            <w:r>
              <w:rPr>
                <w:rFonts w:hint="eastAsia" w:ascii="仿宋" w:hAnsi="仿宋" w:eastAsia="仿宋" w:cs="宋体"/>
              </w:rPr>
              <w:t>通过仪器测量血压血压是否正常，并且为相关科室的诊断提供重要的依据。</w:t>
            </w:r>
          </w:p>
        </w:tc>
      </w:tr>
      <w:tr w14:paraId="4A4577E2">
        <w:tblPrEx>
          <w:tblCellMar>
            <w:top w:w="0" w:type="dxa"/>
            <w:left w:w="108" w:type="dxa"/>
            <w:bottom w:w="0" w:type="dxa"/>
            <w:right w:w="108" w:type="dxa"/>
          </w:tblCellMar>
        </w:tblPrEx>
        <w:trPr>
          <w:trHeight w:val="765"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65F09D31">
            <w:pPr>
              <w:widowControl/>
              <w:jc w:val="center"/>
              <w:rPr>
                <w:rFonts w:ascii="仿宋" w:hAnsi="仿宋" w:eastAsia="仿宋" w:cs="宋体"/>
              </w:rPr>
            </w:pPr>
            <w:r>
              <w:rPr>
                <w:rFonts w:hint="eastAsia" w:ascii="仿宋" w:hAnsi="仿宋" w:eastAsia="仿宋" w:cs="宋体"/>
              </w:rPr>
              <w:t>内科检查</w:t>
            </w:r>
          </w:p>
        </w:tc>
        <w:tc>
          <w:tcPr>
            <w:tcW w:w="2976" w:type="dxa"/>
            <w:tcBorders>
              <w:top w:val="nil"/>
              <w:left w:val="nil"/>
              <w:bottom w:val="single" w:color="auto" w:sz="4" w:space="0"/>
              <w:right w:val="single" w:color="auto" w:sz="4" w:space="0"/>
            </w:tcBorders>
            <w:shd w:val="clear" w:color="auto" w:fill="auto"/>
            <w:vAlign w:val="center"/>
          </w:tcPr>
          <w:p w14:paraId="2D4D595D">
            <w:pPr>
              <w:widowControl/>
              <w:jc w:val="left"/>
              <w:rPr>
                <w:rFonts w:ascii="仿宋" w:hAnsi="仿宋" w:eastAsia="仿宋" w:cs="宋体"/>
              </w:rPr>
            </w:pPr>
            <w:r>
              <w:rPr>
                <w:rFonts w:hint="eastAsia" w:ascii="仿宋" w:hAnsi="仿宋" w:eastAsia="仿宋" w:cs="宋体"/>
              </w:rPr>
              <w:t>内科A：营养,面容,心脏,肺部,腹部，肝脏，脾脏</w:t>
            </w:r>
          </w:p>
        </w:tc>
        <w:tc>
          <w:tcPr>
            <w:tcW w:w="4962" w:type="dxa"/>
            <w:tcBorders>
              <w:top w:val="nil"/>
              <w:left w:val="nil"/>
              <w:bottom w:val="single" w:color="auto" w:sz="4" w:space="0"/>
              <w:right w:val="single" w:color="auto" w:sz="4" w:space="0"/>
            </w:tcBorders>
            <w:shd w:val="clear" w:color="auto" w:fill="auto"/>
            <w:vAlign w:val="center"/>
          </w:tcPr>
          <w:p w14:paraId="1DEA67DD">
            <w:pPr>
              <w:widowControl/>
              <w:jc w:val="left"/>
              <w:rPr>
                <w:rFonts w:ascii="仿宋" w:hAnsi="仿宋" w:eastAsia="仿宋" w:cs="宋体"/>
              </w:rPr>
            </w:pPr>
            <w:r>
              <w:rPr>
                <w:rFonts w:hint="eastAsia" w:ascii="仿宋" w:hAnsi="仿宋" w:eastAsia="仿宋" w:cs="宋体"/>
              </w:rPr>
              <w:t>通过体格检查，检查心、肺、腹部等器官及部位的基本状况,发现常见疾病的相关征兆或初步排除常见疾病。</w:t>
            </w:r>
          </w:p>
        </w:tc>
      </w:tr>
      <w:tr w14:paraId="2BE84310">
        <w:tblPrEx>
          <w:tblCellMar>
            <w:top w:w="0" w:type="dxa"/>
            <w:left w:w="108" w:type="dxa"/>
            <w:bottom w:w="0" w:type="dxa"/>
            <w:right w:w="108" w:type="dxa"/>
          </w:tblCellMar>
        </w:tblPrEx>
        <w:trPr>
          <w:trHeight w:val="750"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36631A7B">
            <w:pPr>
              <w:widowControl/>
              <w:jc w:val="center"/>
              <w:rPr>
                <w:rFonts w:ascii="仿宋" w:hAnsi="仿宋" w:eastAsia="仿宋" w:cs="宋体"/>
              </w:rPr>
            </w:pPr>
            <w:r>
              <w:rPr>
                <w:rFonts w:hint="eastAsia" w:ascii="仿宋" w:hAnsi="仿宋" w:eastAsia="仿宋" w:cs="宋体"/>
              </w:rPr>
              <w:t>眼科</w:t>
            </w:r>
          </w:p>
        </w:tc>
        <w:tc>
          <w:tcPr>
            <w:tcW w:w="2976" w:type="dxa"/>
            <w:tcBorders>
              <w:top w:val="nil"/>
              <w:left w:val="nil"/>
              <w:bottom w:val="single" w:color="auto" w:sz="4" w:space="0"/>
              <w:right w:val="single" w:color="auto" w:sz="4" w:space="0"/>
            </w:tcBorders>
            <w:shd w:val="clear" w:color="auto" w:fill="auto"/>
            <w:vAlign w:val="center"/>
          </w:tcPr>
          <w:p w14:paraId="10F16BD1">
            <w:pPr>
              <w:widowControl/>
              <w:jc w:val="left"/>
              <w:rPr>
                <w:rFonts w:ascii="仿宋" w:hAnsi="仿宋" w:eastAsia="仿宋" w:cs="宋体"/>
              </w:rPr>
            </w:pPr>
            <w:r>
              <w:rPr>
                <w:rFonts w:hint="eastAsia" w:ascii="仿宋" w:hAnsi="仿宋" w:eastAsia="仿宋" w:cs="宋体"/>
              </w:rPr>
              <w:t>眼科B：视力,外眼,眼底镜</w:t>
            </w:r>
          </w:p>
        </w:tc>
        <w:tc>
          <w:tcPr>
            <w:tcW w:w="4962" w:type="dxa"/>
            <w:tcBorders>
              <w:top w:val="nil"/>
              <w:left w:val="nil"/>
              <w:bottom w:val="single" w:color="auto" w:sz="4" w:space="0"/>
              <w:right w:val="single" w:color="auto" w:sz="4" w:space="0"/>
            </w:tcBorders>
            <w:shd w:val="clear" w:color="auto" w:fill="auto"/>
            <w:vAlign w:val="center"/>
          </w:tcPr>
          <w:p w14:paraId="1D4A029D">
            <w:pPr>
              <w:widowControl/>
              <w:jc w:val="left"/>
              <w:rPr>
                <w:rFonts w:ascii="仿宋" w:hAnsi="仿宋" w:eastAsia="仿宋" w:cs="宋体"/>
              </w:rPr>
            </w:pPr>
            <w:r>
              <w:rPr>
                <w:rFonts w:hint="eastAsia" w:ascii="仿宋" w:hAnsi="仿宋" w:eastAsia="仿宋" w:cs="宋体"/>
              </w:rPr>
              <w:t>了解视力状况,眼外观是否正常，通过眼底镜检查眼底视网膜、视神经、视乳头和视网膜中央血管等有无异常情况。</w:t>
            </w:r>
          </w:p>
        </w:tc>
      </w:tr>
      <w:tr w14:paraId="7DE9DD1D">
        <w:tblPrEx>
          <w:tblCellMar>
            <w:top w:w="0" w:type="dxa"/>
            <w:left w:w="108" w:type="dxa"/>
            <w:bottom w:w="0" w:type="dxa"/>
            <w:right w:w="108" w:type="dxa"/>
          </w:tblCellMar>
        </w:tblPrEx>
        <w:trPr>
          <w:trHeight w:val="645"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56C6C08F">
            <w:pPr>
              <w:widowControl/>
              <w:jc w:val="center"/>
              <w:rPr>
                <w:rFonts w:ascii="仿宋" w:hAnsi="仿宋" w:eastAsia="仿宋" w:cs="宋体"/>
              </w:rPr>
            </w:pPr>
            <w:r>
              <w:rPr>
                <w:rFonts w:hint="eastAsia" w:ascii="仿宋" w:hAnsi="仿宋" w:eastAsia="仿宋" w:cs="宋体"/>
              </w:rPr>
              <w:t>血液常规</w:t>
            </w:r>
          </w:p>
        </w:tc>
        <w:tc>
          <w:tcPr>
            <w:tcW w:w="2976" w:type="dxa"/>
            <w:tcBorders>
              <w:top w:val="nil"/>
              <w:left w:val="nil"/>
              <w:bottom w:val="single" w:color="auto" w:sz="4" w:space="0"/>
              <w:right w:val="single" w:color="auto" w:sz="4" w:space="0"/>
            </w:tcBorders>
            <w:shd w:val="clear" w:color="auto" w:fill="auto"/>
            <w:vAlign w:val="center"/>
          </w:tcPr>
          <w:p w14:paraId="469CB789">
            <w:pPr>
              <w:widowControl/>
              <w:jc w:val="left"/>
              <w:rPr>
                <w:rFonts w:ascii="仿宋" w:hAnsi="仿宋" w:eastAsia="仿宋" w:cs="宋体"/>
              </w:rPr>
            </w:pPr>
            <w:r>
              <w:rPr>
                <w:rFonts w:hint="eastAsia" w:ascii="仿宋" w:hAnsi="仿宋" w:eastAsia="仿宋" w:cs="宋体"/>
              </w:rPr>
              <w:t xml:space="preserve">22项        </w:t>
            </w:r>
          </w:p>
        </w:tc>
        <w:tc>
          <w:tcPr>
            <w:tcW w:w="4962" w:type="dxa"/>
            <w:tcBorders>
              <w:top w:val="nil"/>
              <w:left w:val="nil"/>
              <w:bottom w:val="single" w:color="auto" w:sz="4" w:space="0"/>
              <w:right w:val="single" w:color="auto" w:sz="4" w:space="0"/>
            </w:tcBorders>
            <w:shd w:val="clear" w:color="auto" w:fill="auto"/>
            <w:vAlign w:val="center"/>
          </w:tcPr>
          <w:p w14:paraId="475EE0F7">
            <w:pPr>
              <w:widowControl/>
              <w:jc w:val="left"/>
              <w:rPr>
                <w:rFonts w:ascii="仿宋" w:hAnsi="仿宋" w:eastAsia="仿宋" w:cs="宋体"/>
              </w:rPr>
            </w:pPr>
            <w:r>
              <w:rPr>
                <w:rFonts w:hint="eastAsia" w:ascii="仿宋" w:hAnsi="仿宋" w:eastAsia="仿宋" w:cs="宋体"/>
              </w:rPr>
              <w:t>通过检测血液细胞的计数及不同种类细胞、成分的分类来反映身体状况，如：贫血、感染、血液系统疾病、物理化学因素损伤等。</w:t>
            </w:r>
          </w:p>
        </w:tc>
      </w:tr>
      <w:tr w14:paraId="78E9F841">
        <w:tblPrEx>
          <w:tblCellMar>
            <w:top w:w="0" w:type="dxa"/>
            <w:left w:w="108" w:type="dxa"/>
            <w:bottom w:w="0" w:type="dxa"/>
            <w:right w:w="108" w:type="dxa"/>
          </w:tblCellMar>
        </w:tblPrEx>
        <w:trPr>
          <w:trHeight w:val="675"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02827A55">
            <w:pPr>
              <w:widowControl/>
              <w:jc w:val="center"/>
              <w:rPr>
                <w:rFonts w:ascii="仿宋" w:hAnsi="仿宋" w:eastAsia="仿宋" w:cs="宋体"/>
              </w:rPr>
            </w:pPr>
            <w:r>
              <w:rPr>
                <w:rFonts w:hint="eastAsia" w:ascii="仿宋" w:hAnsi="仿宋" w:eastAsia="仿宋" w:cs="宋体"/>
              </w:rPr>
              <w:t>血糖测定</w:t>
            </w:r>
          </w:p>
        </w:tc>
        <w:tc>
          <w:tcPr>
            <w:tcW w:w="2976" w:type="dxa"/>
            <w:tcBorders>
              <w:top w:val="nil"/>
              <w:left w:val="nil"/>
              <w:bottom w:val="single" w:color="auto" w:sz="4" w:space="0"/>
              <w:right w:val="single" w:color="auto" w:sz="4" w:space="0"/>
            </w:tcBorders>
            <w:shd w:val="clear" w:color="auto" w:fill="auto"/>
            <w:vAlign w:val="center"/>
          </w:tcPr>
          <w:p w14:paraId="03D5EC95">
            <w:pPr>
              <w:widowControl/>
              <w:jc w:val="left"/>
              <w:rPr>
                <w:rFonts w:ascii="仿宋" w:hAnsi="仿宋" w:eastAsia="仿宋" w:cs="宋体"/>
              </w:rPr>
            </w:pPr>
            <w:r>
              <w:rPr>
                <w:rFonts w:hint="eastAsia" w:ascii="仿宋" w:hAnsi="仿宋" w:eastAsia="仿宋" w:cs="宋体"/>
              </w:rPr>
              <w:t xml:space="preserve">空腹血糖（GLU）  </w:t>
            </w:r>
          </w:p>
        </w:tc>
        <w:tc>
          <w:tcPr>
            <w:tcW w:w="4962" w:type="dxa"/>
            <w:tcBorders>
              <w:top w:val="nil"/>
              <w:left w:val="nil"/>
              <w:bottom w:val="single" w:color="auto" w:sz="4" w:space="0"/>
              <w:right w:val="single" w:color="auto" w:sz="4" w:space="0"/>
            </w:tcBorders>
            <w:shd w:val="clear" w:color="auto" w:fill="auto"/>
            <w:vAlign w:val="center"/>
          </w:tcPr>
          <w:p w14:paraId="76F6C032">
            <w:pPr>
              <w:widowControl/>
              <w:jc w:val="left"/>
              <w:rPr>
                <w:rFonts w:ascii="仿宋" w:hAnsi="仿宋" w:eastAsia="仿宋" w:cs="宋体"/>
              </w:rPr>
            </w:pPr>
            <w:r>
              <w:rPr>
                <w:rFonts w:hint="eastAsia" w:ascii="仿宋" w:hAnsi="仿宋" w:eastAsia="仿宋" w:cs="宋体"/>
              </w:rPr>
              <w:t>是筛查糖尿病最基本的方法，有无糖尿病和低血糖，同时也是判断糖尿病病情和控制程度的主要指标。</w:t>
            </w:r>
          </w:p>
        </w:tc>
      </w:tr>
      <w:tr w14:paraId="343FF720">
        <w:tblPrEx>
          <w:tblCellMar>
            <w:top w:w="0" w:type="dxa"/>
            <w:left w:w="108" w:type="dxa"/>
            <w:bottom w:w="0" w:type="dxa"/>
            <w:right w:w="108" w:type="dxa"/>
          </w:tblCellMar>
        </w:tblPrEx>
        <w:trPr>
          <w:trHeight w:val="780"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6BA8A1AE">
            <w:pPr>
              <w:widowControl/>
              <w:jc w:val="center"/>
              <w:rPr>
                <w:rFonts w:ascii="仿宋" w:hAnsi="仿宋" w:eastAsia="仿宋" w:cs="宋体"/>
              </w:rPr>
            </w:pPr>
            <w:r>
              <w:rPr>
                <w:rFonts w:hint="eastAsia" w:ascii="仿宋" w:hAnsi="仿宋" w:eastAsia="仿宋" w:cs="宋体"/>
              </w:rPr>
              <w:t>血脂检查</w:t>
            </w:r>
          </w:p>
        </w:tc>
        <w:tc>
          <w:tcPr>
            <w:tcW w:w="2976" w:type="dxa"/>
            <w:tcBorders>
              <w:top w:val="nil"/>
              <w:left w:val="nil"/>
              <w:bottom w:val="single" w:color="auto" w:sz="4" w:space="0"/>
              <w:right w:val="single" w:color="auto" w:sz="4" w:space="0"/>
            </w:tcBorders>
            <w:shd w:val="clear" w:color="auto" w:fill="auto"/>
            <w:vAlign w:val="center"/>
          </w:tcPr>
          <w:p w14:paraId="31349F62">
            <w:pPr>
              <w:widowControl/>
              <w:jc w:val="left"/>
              <w:rPr>
                <w:rFonts w:ascii="仿宋" w:hAnsi="仿宋" w:eastAsia="仿宋" w:cs="宋体"/>
              </w:rPr>
            </w:pPr>
            <w:r>
              <w:rPr>
                <w:rFonts w:hint="eastAsia" w:ascii="仿宋" w:hAnsi="仿宋" w:eastAsia="仿宋" w:cs="宋体"/>
              </w:rPr>
              <w:t>血脂四项(TC,TG,HDL-C,LDL-C)与动脉硬化指数（AI）</w:t>
            </w:r>
          </w:p>
        </w:tc>
        <w:tc>
          <w:tcPr>
            <w:tcW w:w="4962" w:type="dxa"/>
            <w:tcBorders>
              <w:top w:val="nil"/>
              <w:left w:val="nil"/>
              <w:bottom w:val="single" w:color="auto" w:sz="4" w:space="0"/>
              <w:right w:val="single" w:color="auto" w:sz="4" w:space="0"/>
            </w:tcBorders>
            <w:shd w:val="clear" w:color="auto" w:fill="auto"/>
            <w:vAlign w:val="center"/>
          </w:tcPr>
          <w:p w14:paraId="7673DC74">
            <w:pPr>
              <w:widowControl/>
              <w:jc w:val="left"/>
              <w:rPr>
                <w:rFonts w:ascii="仿宋" w:hAnsi="仿宋" w:eastAsia="仿宋" w:cs="宋体"/>
              </w:rPr>
            </w:pPr>
            <w:r>
              <w:rPr>
                <w:rFonts w:hint="eastAsia" w:ascii="仿宋" w:hAnsi="仿宋" w:eastAsia="仿宋" w:cs="宋体"/>
              </w:rPr>
              <w:t>可以反映体内脂类代谢的情况。有助于评估心脑血管疾病风险。当AI≥4异常。数值越大动脉硬化的程度越重，发生心脑血管的危险性越高。</w:t>
            </w:r>
          </w:p>
        </w:tc>
      </w:tr>
      <w:tr w14:paraId="1C50192E">
        <w:tblPrEx>
          <w:tblCellMar>
            <w:top w:w="0" w:type="dxa"/>
            <w:left w:w="108" w:type="dxa"/>
            <w:bottom w:w="0" w:type="dxa"/>
            <w:right w:w="108" w:type="dxa"/>
          </w:tblCellMar>
        </w:tblPrEx>
        <w:trPr>
          <w:trHeight w:val="810"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4F83F44C">
            <w:pPr>
              <w:widowControl/>
              <w:jc w:val="center"/>
              <w:rPr>
                <w:rFonts w:ascii="仿宋" w:hAnsi="仿宋" w:eastAsia="仿宋" w:cs="宋体"/>
              </w:rPr>
            </w:pPr>
            <w:r>
              <w:rPr>
                <w:rFonts w:hint="eastAsia" w:ascii="仿宋" w:hAnsi="仿宋" w:eastAsia="仿宋" w:cs="宋体"/>
              </w:rPr>
              <w:t>肝功能七项</w:t>
            </w:r>
          </w:p>
        </w:tc>
        <w:tc>
          <w:tcPr>
            <w:tcW w:w="2976" w:type="dxa"/>
            <w:tcBorders>
              <w:top w:val="nil"/>
              <w:left w:val="nil"/>
              <w:bottom w:val="single" w:color="auto" w:sz="4" w:space="0"/>
              <w:right w:val="single" w:color="auto" w:sz="4" w:space="0"/>
            </w:tcBorders>
            <w:shd w:val="clear" w:color="auto" w:fill="auto"/>
            <w:vAlign w:val="center"/>
          </w:tcPr>
          <w:p w14:paraId="4EFD4F9B">
            <w:pPr>
              <w:widowControl/>
              <w:jc w:val="left"/>
              <w:rPr>
                <w:rFonts w:ascii="仿宋" w:hAnsi="仿宋" w:eastAsia="仿宋" w:cs="宋体"/>
              </w:rPr>
            </w:pPr>
            <w:r>
              <w:rPr>
                <w:rFonts w:hint="eastAsia" w:ascii="仿宋" w:hAnsi="仿宋" w:eastAsia="仿宋" w:cs="宋体"/>
              </w:rPr>
              <w:t>肝功能七项TP,ALB,GLO,ALB/GLO,ALT,T-BIL,ALP）</w:t>
            </w:r>
          </w:p>
        </w:tc>
        <w:tc>
          <w:tcPr>
            <w:tcW w:w="4962" w:type="dxa"/>
            <w:tcBorders>
              <w:top w:val="nil"/>
              <w:left w:val="nil"/>
              <w:bottom w:val="single" w:color="auto" w:sz="4" w:space="0"/>
              <w:right w:val="single" w:color="auto" w:sz="4" w:space="0"/>
            </w:tcBorders>
            <w:shd w:val="clear" w:color="auto" w:fill="auto"/>
            <w:vAlign w:val="center"/>
          </w:tcPr>
          <w:p w14:paraId="588AF55C">
            <w:pPr>
              <w:widowControl/>
              <w:jc w:val="left"/>
              <w:rPr>
                <w:rFonts w:ascii="仿宋" w:hAnsi="仿宋" w:eastAsia="仿宋" w:cs="宋体"/>
              </w:rPr>
            </w:pPr>
            <w:r>
              <w:rPr>
                <w:rFonts w:hint="eastAsia" w:ascii="仿宋" w:hAnsi="仿宋" w:eastAsia="仿宋" w:cs="宋体"/>
              </w:rPr>
              <w:t>可较好地了解肝脏功能状况。可提示肝胆系统疾病：急性传染性肝炎，中毒性肝炎，脂肪肝，胆管炎，胆囊炎，药物中毒性肝炎，酒精性肝炎和黄疸等。</w:t>
            </w:r>
          </w:p>
        </w:tc>
      </w:tr>
      <w:tr w14:paraId="5A1AF9E1">
        <w:tblPrEx>
          <w:tblCellMar>
            <w:top w:w="0" w:type="dxa"/>
            <w:left w:w="108" w:type="dxa"/>
            <w:bottom w:w="0" w:type="dxa"/>
            <w:right w:w="108" w:type="dxa"/>
          </w:tblCellMar>
        </w:tblPrEx>
        <w:trPr>
          <w:trHeight w:val="402" w:hRule="atLeast"/>
        </w:trPr>
        <w:tc>
          <w:tcPr>
            <w:tcW w:w="1419" w:type="dxa"/>
            <w:vMerge w:val="restart"/>
            <w:tcBorders>
              <w:top w:val="nil"/>
              <w:left w:val="single" w:color="auto" w:sz="4" w:space="0"/>
              <w:bottom w:val="single" w:color="auto" w:sz="4" w:space="0"/>
              <w:right w:val="single" w:color="auto" w:sz="4" w:space="0"/>
            </w:tcBorders>
            <w:shd w:val="clear" w:color="auto" w:fill="auto"/>
            <w:vAlign w:val="center"/>
          </w:tcPr>
          <w:p w14:paraId="78C52C79">
            <w:pPr>
              <w:widowControl/>
              <w:spacing w:line="240" w:lineRule="exact"/>
              <w:jc w:val="center"/>
              <w:rPr>
                <w:rFonts w:ascii="仿宋" w:hAnsi="仿宋" w:eastAsia="仿宋" w:cs="宋体"/>
                <w:bCs/>
              </w:rPr>
            </w:pPr>
            <w:r>
              <w:rPr>
                <w:rFonts w:hint="eastAsia" w:ascii="仿宋" w:hAnsi="仿宋" w:eastAsia="仿宋" w:cs="宋体"/>
                <w:bCs/>
              </w:rPr>
              <w:t>肿瘤指标20项（TM20)</w:t>
            </w:r>
          </w:p>
        </w:tc>
        <w:tc>
          <w:tcPr>
            <w:tcW w:w="2976" w:type="dxa"/>
            <w:tcBorders>
              <w:top w:val="nil"/>
              <w:left w:val="nil"/>
              <w:bottom w:val="single" w:color="auto" w:sz="4" w:space="0"/>
              <w:right w:val="single" w:color="auto" w:sz="4" w:space="0"/>
            </w:tcBorders>
            <w:shd w:val="clear" w:color="auto" w:fill="auto"/>
            <w:vAlign w:val="center"/>
          </w:tcPr>
          <w:p w14:paraId="3F16F120">
            <w:pPr>
              <w:widowControl/>
              <w:spacing w:line="240" w:lineRule="exact"/>
              <w:jc w:val="left"/>
              <w:rPr>
                <w:rFonts w:ascii="仿宋" w:hAnsi="仿宋" w:eastAsia="仿宋" w:cs="宋体"/>
              </w:rPr>
            </w:pPr>
            <w:r>
              <w:rPr>
                <w:rFonts w:hint="eastAsia" w:ascii="仿宋" w:hAnsi="仿宋" w:eastAsia="仿宋" w:cs="宋体"/>
              </w:rPr>
              <w:t xml:space="preserve">甲型胎儿蛋白（AFP，发光）  </w:t>
            </w:r>
          </w:p>
        </w:tc>
        <w:tc>
          <w:tcPr>
            <w:tcW w:w="4962" w:type="dxa"/>
            <w:tcBorders>
              <w:top w:val="nil"/>
              <w:left w:val="nil"/>
              <w:bottom w:val="single" w:color="auto" w:sz="4" w:space="0"/>
              <w:right w:val="single" w:color="auto" w:sz="4" w:space="0"/>
            </w:tcBorders>
            <w:shd w:val="clear" w:color="auto" w:fill="auto"/>
            <w:vAlign w:val="center"/>
          </w:tcPr>
          <w:p w14:paraId="6CBF3947">
            <w:pPr>
              <w:widowControl/>
              <w:spacing w:line="240" w:lineRule="exact"/>
              <w:jc w:val="left"/>
              <w:rPr>
                <w:rFonts w:ascii="仿宋" w:hAnsi="仿宋" w:eastAsia="仿宋" w:cs="宋体"/>
              </w:rPr>
            </w:pPr>
            <w:r>
              <w:rPr>
                <w:rFonts w:hint="eastAsia" w:ascii="仿宋" w:hAnsi="仿宋" w:eastAsia="仿宋" w:cs="宋体"/>
              </w:rPr>
              <w:t>用于原发性肝癌、病毒性肝炎、肝硬化、妊娠和胎儿畸形的诊断。</w:t>
            </w:r>
          </w:p>
        </w:tc>
      </w:tr>
      <w:tr w14:paraId="48AF2E30">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49E548D7">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6C82CDB">
            <w:pPr>
              <w:widowControl/>
              <w:spacing w:line="240" w:lineRule="exact"/>
              <w:jc w:val="left"/>
              <w:rPr>
                <w:rFonts w:ascii="仿宋" w:hAnsi="仿宋" w:eastAsia="仿宋" w:cs="宋体"/>
              </w:rPr>
            </w:pPr>
            <w:r>
              <w:rPr>
                <w:rFonts w:hint="eastAsia" w:ascii="仿宋" w:hAnsi="仿宋" w:eastAsia="仿宋" w:cs="宋体"/>
              </w:rPr>
              <w:t xml:space="preserve">癌症胚胎抗原（CEA，发光）    </w:t>
            </w:r>
          </w:p>
        </w:tc>
        <w:tc>
          <w:tcPr>
            <w:tcW w:w="4962" w:type="dxa"/>
            <w:tcBorders>
              <w:top w:val="nil"/>
              <w:left w:val="nil"/>
              <w:bottom w:val="single" w:color="auto" w:sz="4" w:space="0"/>
              <w:right w:val="single" w:color="auto" w:sz="4" w:space="0"/>
            </w:tcBorders>
            <w:shd w:val="clear" w:color="auto" w:fill="auto"/>
            <w:vAlign w:val="center"/>
          </w:tcPr>
          <w:p w14:paraId="6F6ECFA4">
            <w:pPr>
              <w:widowControl/>
              <w:spacing w:line="240" w:lineRule="exact"/>
              <w:jc w:val="left"/>
              <w:rPr>
                <w:rFonts w:ascii="仿宋" w:hAnsi="仿宋" w:eastAsia="仿宋" w:cs="宋体"/>
              </w:rPr>
            </w:pPr>
            <w:r>
              <w:rPr>
                <w:rFonts w:hint="eastAsia" w:ascii="仿宋" w:hAnsi="仿宋" w:eastAsia="仿宋" w:cs="宋体"/>
              </w:rPr>
              <w:t>用于肺、结肠、直肠、乳腺、胃、胰腺、胆管等肿瘤的辅助诊断及疗效的判断。</w:t>
            </w:r>
          </w:p>
        </w:tc>
      </w:tr>
      <w:tr w14:paraId="1E2232B2">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3BBED543">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7901A047">
            <w:pPr>
              <w:widowControl/>
              <w:spacing w:line="240" w:lineRule="exact"/>
              <w:jc w:val="left"/>
              <w:rPr>
                <w:rFonts w:ascii="仿宋" w:hAnsi="仿宋" w:eastAsia="仿宋" w:cs="宋体"/>
              </w:rPr>
            </w:pPr>
            <w:r>
              <w:rPr>
                <w:rFonts w:hint="eastAsia" w:ascii="仿宋" w:hAnsi="仿宋" w:eastAsia="仿宋" w:cs="宋体"/>
              </w:rPr>
              <w:t xml:space="preserve">胰腺癌肿瘤筛检（CA199）   </w:t>
            </w:r>
          </w:p>
        </w:tc>
        <w:tc>
          <w:tcPr>
            <w:tcW w:w="4962" w:type="dxa"/>
            <w:tcBorders>
              <w:top w:val="nil"/>
              <w:left w:val="nil"/>
              <w:bottom w:val="single" w:color="auto" w:sz="4" w:space="0"/>
              <w:right w:val="single" w:color="auto" w:sz="4" w:space="0"/>
            </w:tcBorders>
            <w:shd w:val="clear" w:color="auto" w:fill="auto"/>
            <w:vAlign w:val="center"/>
          </w:tcPr>
          <w:p w14:paraId="2B8FB3AD">
            <w:pPr>
              <w:widowControl/>
              <w:spacing w:line="240" w:lineRule="exact"/>
              <w:jc w:val="left"/>
              <w:rPr>
                <w:rFonts w:ascii="仿宋" w:hAnsi="仿宋" w:eastAsia="仿宋" w:cs="宋体"/>
              </w:rPr>
            </w:pPr>
            <w:r>
              <w:rPr>
                <w:rFonts w:hint="eastAsia" w:ascii="仿宋" w:hAnsi="仿宋" w:eastAsia="仿宋" w:cs="宋体"/>
              </w:rPr>
              <w:t>胰腺癌、胆道恶性肿瘤的诊断及胃肠道、甲状腺肿瘤的诊断和疗效监测。</w:t>
            </w:r>
          </w:p>
        </w:tc>
      </w:tr>
      <w:tr w14:paraId="459725E9">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12FAD0A9">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7C12998D">
            <w:pPr>
              <w:widowControl/>
              <w:spacing w:line="240" w:lineRule="exact"/>
              <w:jc w:val="left"/>
              <w:rPr>
                <w:rFonts w:ascii="仿宋" w:hAnsi="仿宋" w:eastAsia="仿宋" w:cs="宋体"/>
              </w:rPr>
            </w:pPr>
            <w:r>
              <w:rPr>
                <w:rFonts w:hint="eastAsia" w:ascii="仿宋" w:hAnsi="仿宋" w:eastAsia="仿宋" w:cs="宋体"/>
              </w:rPr>
              <w:t>乳腺癌肿瘤筛检（CA153）（女）</w:t>
            </w:r>
          </w:p>
        </w:tc>
        <w:tc>
          <w:tcPr>
            <w:tcW w:w="4962" w:type="dxa"/>
            <w:tcBorders>
              <w:top w:val="nil"/>
              <w:left w:val="nil"/>
              <w:bottom w:val="single" w:color="auto" w:sz="4" w:space="0"/>
              <w:right w:val="single" w:color="auto" w:sz="4" w:space="0"/>
            </w:tcBorders>
            <w:shd w:val="clear" w:color="auto" w:fill="auto"/>
            <w:vAlign w:val="center"/>
          </w:tcPr>
          <w:p w14:paraId="021161D3">
            <w:pPr>
              <w:widowControl/>
              <w:spacing w:line="240" w:lineRule="exact"/>
              <w:jc w:val="left"/>
              <w:rPr>
                <w:rFonts w:ascii="仿宋" w:hAnsi="仿宋" w:eastAsia="仿宋" w:cs="宋体"/>
              </w:rPr>
            </w:pPr>
            <w:r>
              <w:rPr>
                <w:rFonts w:hint="eastAsia" w:ascii="仿宋" w:hAnsi="仿宋" w:eastAsia="仿宋" w:cs="宋体"/>
              </w:rPr>
              <w:t>乳腺癌、转移性乳腺癌的诊断及疗效监测。辅助诊断肝癌、卵巢癌、胰腺癌、肺癌等。</w:t>
            </w:r>
          </w:p>
        </w:tc>
      </w:tr>
      <w:tr w14:paraId="7EC3241B">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15F4B91F">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2B811EAF">
            <w:pPr>
              <w:widowControl/>
              <w:spacing w:line="240" w:lineRule="exact"/>
              <w:jc w:val="left"/>
              <w:rPr>
                <w:rFonts w:ascii="仿宋" w:hAnsi="仿宋" w:eastAsia="仿宋" w:cs="宋体"/>
              </w:rPr>
            </w:pPr>
            <w:r>
              <w:rPr>
                <w:rFonts w:hint="eastAsia" w:ascii="仿宋" w:hAnsi="仿宋" w:eastAsia="仿宋" w:cs="宋体"/>
              </w:rPr>
              <w:t>卵巢癌肿瘤筛检（CA125）（女）</w:t>
            </w:r>
          </w:p>
        </w:tc>
        <w:tc>
          <w:tcPr>
            <w:tcW w:w="4962" w:type="dxa"/>
            <w:tcBorders>
              <w:top w:val="nil"/>
              <w:left w:val="nil"/>
              <w:bottom w:val="single" w:color="auto" w:sz="4" w:space="0"/>
              <w:right w:val="single" w:color="auto" w:sz="4" w:space="0"/>
            </w:tcBorders>
            <w:shd w:val="clear" w:color="auto" w:fill="auto"/>
            <w:vAlign w:val="center"/>
          </w:tcPr>
          <w:p w14:paraId="3BEEA7D8">
            <w:pPr>
              <w:widowControl/>
              <w:spacing w:line="240" w:lineRule="exact"/>
              <w:jc w:val="left"/>
              <w:rPr>
                <w:rFonts w:ascii="仿宋" w:hAnsi="仿宋" w:eastAsia="仿宋" w:cs="宋体"/>
              </w:rPr>
            </w:pPr>
            <w:r>
              <w:rPr>
                <w:rFonts w:hint="eastAsia" w:ascii="仿宋" w:hAnsi="仿宋" w:eastAsia="仿宋" w:cs="宋体"/>
              </w:rPr>
              <w:t>卵巢、子宫内膜、肝、肺、结直肠、胃肠癌的诊断和疗效监测。</w:t>
            </w:r>
          </w:p>
        </w:tc>
      </w:tr>
      <w:tr w14:paraId="6F1CA932">
        <w:tblPrEx>
          <w:tblCellMar>
            <w:top w:w="0" w:type="dxa"/>
            <w:left w:w="108" w:type="dxa"/>
            <w:bottom w:w="0" w:type="dxa"/>
            <w:right w:w="108" w:type="dxa"/>
          </w:tblCellMar>
        </w:tblPrEx>
        <w:trPr>
          <w:trHeight w:val="690" w:hRule="atLeast"/>
        </w:trPr>
        <w:tc>
          <w:tcPr>
            <w:tcW w:w="1419" w:type="dxa"/>
            <w:vMerge w:val="continue"/>
            <w:tcBorders>
              <w:top w:val="nil"/>
              <w:left w:val="single" w:color="auto" w:sz="4" w:space="0"/>
              <w:bottom w:val="single" w:color="auto" w:sz="4" w:space="0"/>
              <w:right w:val="single" w:color="auto" w:sz="4" w:space="0"/>
            </w:tcBorders>
            <w:vAlign w:val="center"/>
          </w:tcPr>
          <w:p w14:paraId="22966D4C">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73F535F8">
            <w:pPr>
              <w:widowControl/>
              <w:spacing w:line="240" w:lineRule="exact"/>
              <w:jc w:val="left"/>
              <w:rPr>
                <w:rFonts w:ascii="仿宋" w:hAnsi="仿宋" w:eastAsia="仿宋" w:cs="宋体"/>
              </w:rPr>
            </w:pPr>
            <w:r>
              <w:rPr>
                <w:rFonts w:hint="eastAsia" w:ascii="仿宋" w:hAnsi="仿宋" w:eastAsia="仿宋" w:cs="宋体"/>
              </w:rPr>
              <w:t>人类绒毛膜促性腺激素（β-HCG）</w:t>
            </w:r>
          </w:p>
        </w:tc>
        <w:tc>
          <w:tcPr>
            <w:tcW w:w="4962" w:type="dxa"/>
            <w:tcBorders>
              <w:top w:val="nil"/>
              <w:left w:val="nil"/>
              <w:bottom w:val="single" w:color="auto" w:sz="4" w:space="0"/>
              <w:right w:val="single" w:color="auto" w:sz="4" w:space="0"/>
            </w:tcBorders>
            <w:shd w:val="clear" w:color="auto" w:fill="auto"/>
            <w:vAlign w:val="center"/>
          </w:tcPr>
          <w:p w14:paraId="6191B24D">
            <w:pPr>
              <w:widowControl/>
              <w:spacing w:line="240" w:lineRule="exact"/>
              <w:jc w:val="left"/>
              <w:rPr>
                <w:rFonts w:ascii="仿宋" w:hAnsi="仿宋" w:eastAsia="仿宋" w:cs="宋体"/>
              </w:rPr>
            </w:pPr>
            <w:r>
              <w:rPr>
                <w:rFonts w:hint="eastAsia" w:ascii="仿宋" w:hAnsi="仿宋" w:eastAsia="仿宋" w:cs="宋体"/>
              </w:rPr>
              <w:t>对早期妊娠诊断有重要意义，对与妊娠相关疾病、滋养细胞肿瘤等疾病的诊断、鉴别和病程观察等有一定价值。</w:t>
            </w:r>
          </w:p>
        </w:tc>
      </w:tr>
      <w:tr w14:paraId="0F253118">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2F51EE9D">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12AF382">
            <w:pPr>
              <w:widowControl/>
              <w:spacing w:line="240" w:lineRule="exact"/>
              <w:jc w:val="left"/>
              <w:rPr>
                <w:rFonts w:ascii="仿宋" w:hAnsi="仿宋" w:eastAsia="仿宋" w:cs="宋体"/>
              </w:rPr>
            </w:pPr>
            <w:r>
              <w:rPr>
                <w:rFonts w:hint="eastAsia" w:ascii="仿宋" w:hAnsi="仿宋" w:eastAsia="仿宋" w:cs="宋体"/>
              </w:rPr>
              <w:t>胰腺、胆道肿瘤标记物(CA242)</w:t>
            </w:r>
          </w:p>
        </w:tc>
        <w:tc>
          <w:tcPr>
            <w:tcW w:w="4962" w:type="dxa"/>
            <w:tcBorders>
              <w:top w:val="nil"/>
              <w:left w:val="nil"/>
              <w:bottom w:val="single" w:color="auto" w:sz="4" w:space="0"/>
              <w:right w:val="single" w:color="auto" w:sz="4" w:space="0"/>
            </w:tcBorders>
            <w:shd w:val="clear" w:color="auto" w:fill="auto"/>
            <w:vAlign w:val="center"/>
          </w:tcPr>
          <w:p w14:paraId="1992F3A4">
            <w:pPr>
              <w:widowControl/>
              <w:spacing w:line="240" w:lineRule="exact"/>
              <w:jc w:val="left"/>
              <w:rPr>
                <w:rFonts w:ascii="仿宋" w:hAnsi="仿宋" w:eastAsia="仿宋" w:cs="宋体"/>
              </w:rPr>
            </w:pPr>
            <w:r>
              <w:rPr>
                <w:rFonts w:hint="eastAsia" w:ascii="仿宋" w:hAnsi="仿宋" w:eastAsia="仿宋" w:cs="宋体"/>
              </w:rPr>
              <w:t>胰腺癌和直结肠癌的肿瘤标志物。</w:t>
            </w:r>
          </w:p>
        </w:tc>
      </w:tr>
      <w:tr w14:paraId="2A2B5914">
        <w:tblPrEx>
          <w:tblCellMar>
            <w:top w:w="0" w:type="dxa"/>
            <w:left w:w="108" w:type="dxa"/>
            <w:bottom w:w="0" w:type="dxa"/>
            <w:right w:w="108" w:type="dxa"/>
          </w:tblCellMar>
        </w:tblPrEx>
        <w:trPr>
          <w:trHeight w:val="660" w:hRule="atLeast"/>
        </w:trPr>
        <w:tc>
          <w:tcPr>
            <w:tcW w:w="1419" w:type="dxa"/>
            <w:vMerge w:val="continue"/>
            <w:tcBorders>
              <w:top w:val="nil"/>
              <w:left w:val="single" w:color="auto" w:sz="4" w:space="0"/>
              <w:bottom w:val="single" w:color="auto" w:sz="4" w:space="0"/>
              <w:right w:val="single" w:color="auto" w:sz="4" w:space="0"/>
            </w:tcBorders>
            <w:vAlign w:val="center"/>
          </w:tcPr>
          <w:p w14:paraId="3CE69DF1">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09B6E93D">
            <w:pPr>
              <w:widowControl/>
              <w:spacing w:line="240" w:lineRule="exact"/>
              <w:jc w:val="left"/>
              <w:rPr>
                <w:rFonts w:ascii="仿宋" w:hAnsi="仿宋" w:eastAsia="仿宋" w:cs="宋体"/>
              </w:rPr>
            </w:pPr>
            <w:r>
              <w:rPr>
                <w:rFonts w:hint="eastAsia" w:ascii="仿宋" w:hAnsi="仿宋" w:eastAsia="仿宋" w:cs="宋体"/>
              </w:rPr>
              <w:t>糖类抗原（CA72-4）</w:t>
            </w:r>
          </w:p>
        </w:tc>
        <w:tc>
          <w:tcPr>
            <w:tcW w:w="4962" w:type="dxa"/>
            <w:tcBorders>
              <w:top w:val="nil"/>
              <w:left w:val="nil"/>
              <w:bottom w:val="single" w:color="auto" w:sz="4" w:space="0"/>
              <w:right w:val="single" w:color="auto" w:sz="4" w:space="0"/>
            </w:tcBorders>
            <w:shd w:val="clear" w:color="auto" w:fill="auto"/>
            <w:vAlign w:val="center"/>
          </w:tcPr>
          <w:p w14:paraId="5699F446">
            <w:pPr>
              <w:widowControl/>
              <w:spacing w:line="240" w:lineRule="exact"/>
              <w:jc w:val="left"/>
              <w:rPr>
                <w:rFonts w:ascii="仿宋" w:hAnsi="仿宋" w:eastAsia="仿宋" w:cs="宋体"/>
              </w:rPr>
            </w:pPr>
            <w:r>
              <w:rPr>
                <w:rFonts w:hint="eastAsia" w:ascii="仿宋" w:hAnsi="仿宋" w:eastAsia="仿宋" w:cs="宋体"/>
              </w:rPr>
              <w:t>是一种肿瘤相关糖蛋白，用于胃肠道和卵巢肿瘤的标志物；与CA125联合检测，可提高卵巢癌的检查率；与CEA联合检测，可以提高判断胃癌的敏感性和特异性。</w:t>
            </w:r>
          </w:p>
        </w:tc>
      </w:tr>
      <w:tr w14:paraId="550E5541">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6A8454E0">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4DFD5EF6">
            <w:pPr>
              <w:widowControl/>
              <w:spacing w:line="240" w:lineRule="exact"/>
              <w:jc w:val="left"/>
              <w:rPr>
                <w:rFonts w:ascii="仿宋" w:hAnsi="仿宋" w:eastAsia="仿宋" w:cs="宋体"/>
              </w:rPr>
            </w:pPr>
            <w:r>
              <w:rPr>
                <w:rFonts w:hint="eastAsia" w:ascii="仿宋" w:hAnsi="仿宋" w:eastAsia="仿宋" w:cs="宋体"/>
              </w:rPr>
              <w:t>肺特异性生长因子（NSE)</w:t>
            </w:r>
          </w:p>
        </w:tc>
        <w:tc>
          <w:tcPr>
            <w:tcW w:w="4962" w:type="dxa"/>
            <w:tcBorders>
              <w:top w:val="nil"/>
              <w:left w:val="nil"/>
              <w:bottom w:val="single" w:color="auto" w:sz="4" w:space="0"/>
              <w:right w:val="single" w:color="auto" w:sz="4" w:space="0"/>
            </w:tcBorders>
            <w:shd w:val="clear" w:color="auto" w:fill="auto"/>
            <w:vAlign w:val="center"/>
          </w:tcPr>
          <w:p w14:paraId="0C4F5F4D">
            <w:pPr>
              <w:widowControl/>
              <w:spacing w:line="240" w:lineRule="exact"/>
              <w:jc w:val="left"/>
              <w:rPr>
                <w:rFonts w:ascii="仿宋" w:hAnsi="仿宋" w:eastAsia="仿宋" w:cs="宋体"/>
              </w:rPr>
            </w:pPr>
            <w:r>
              <w:rPr>
                <w:rFonts w:hint="eastAsia" w:ascii="仿宋" w:hAnsi="仿宋" w:eastAsia="仿宋" w:cs="宋体"/>
              </w:rPr>
              <w:t>肿瘤的早期检测。</w:t>
            </w:r>
          </w:p>
        </w:tc>
      </w:tr>
      <w:tr w14:paraId="222111A2">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717BDBE0">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1E0EAFE">
            <w:pPr>
              <w:widowControl/>
              <w:spacing w:line="240" w:lineRule="exact"/>
              <w:jc w:val="left"/>
              <w:rPr>
                <w:rFonts w:ascii="仿宋" w:hAnsi="仿宋" w:eastAsia="仿宋" w:cs="宋体"/>
              </w:rPr>
            </w:pPr>
            <w:r>
              <w:rPr>
                <w:rFonts w:hint="eastAsia" w:ascii="仿宋" w:hAnsi="仿宋" w:eastAsia="仿宋" w:cs="宋体"/>
              </w:rPr>
              <w:t>多种肿瘤标记（CA50）</w:t>
            </w:r>
          </w:p>
        </w:tc>
        <w:tc>
          <w:tcPr>
            <w:tcW w:w="4962" w:type="dxa"/>
            <w:tcBorders>
              <w:top w:val="nil"/>
              <w:left w:val="nil"/>
              <w:bottom w:val="single" w:color="auto" w:sz="4" w:space="0"/>
              <w:right w:val="single" w:color="auto" w:sz="4" w:space="0"/>
            </w:tcBorders>
            <w:shd w:val="clear" w:color="auto" w:fill="auto"/>
            <w:vAlign w:val="center"/>
          </w:tcPr>
          <w:p w14:paraId="48E78A18">
            <w:pPr>
              <w:widowControl/>
              <w:spacing w:line="240" w:lineRule="exact"/>
              <w:jc w:val="left"/>
              <w:rPr>
                <w:rFonts w:ascii="仿宋" w:hAnsi="仿宋" w:eastAsia="仿宋" w:cs="宋体"/>
              </w:rPr>
            </w:pPr>
            <w:r>
              <w:rPr>
                <w:rFonts w:hint="eastAsia" w:ascii="仿宋" w:hAnsi="仿宋" w:eastAsia="仿宋" w:cs="宋体"/>
              </w:rPr>
              <w:t>胰腺、肝、卵巢、肺等肿瘤的诊断和疗效监测。</w:t>
            </w:r>
          </w:p>
        </w:tc>
      </w:tr>
      <w:tr w14:paraId="41D62F38">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6F895D22">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2A110BC3">
            <w:pPr>
              <w:widowControl/>
              <w:spacing w:line="240" w:lineRule="exact"/>
              <w:jc w:val="left"/>
              <w:rPr>
                <w:rFonts w:ascii="仿宋" w:hAnsi="仿宋" w:eastAsia="仿宋" w:cs="宋体"/>
              </w:rPr>
            </w:pPr>
            <w:r>
              <w:rPr>
                <w:rFonts w:hint="eastAsia" w:ascii="仿宋" w:hAnsi="仿宋" w:eastAsia="仿宋" w:cs="宋体"/>
              </w:rPr>
              <w:t>游离前列腺特异性抗原（F-PSA）（男）</w:t>
            </w:r>
          </w:p>
        </w:tc>
        <w:tc>
          <w:tcPr>
            <w:tcW w:w="4962" w:type="dxa"/>
            <w:tcBorders>
              <w:top w:val="nil"/>
              <w:left w:val="nil"/>
              <w:bottom w:val="single" w:color="auto" w:sz="4" w:space="0"/>
              <w:right w:val="single" w:color="auto" w:sz="4" w:space="0"/>
            </w:tcBorders>
            <w:shd w:val="clear" w:color="auto" w:fill="auto"/>
            <w:vAlign w:val="center"/>
          </w:tcPr>
          <w:p w14:paraId="31849ABC">
            <w:pPr>
              <w:widowControl/>
              <w:spacing w:line="240" w:lineRule="exact"/>
              <w:jc w:val="left"/>
              <w:rPr>
                <w:rFonts w:ascii="仿宋" w:hAnsi="仿宋" w:eastAsia="仿宋" w:cs="宋体"/>
              </w:rPr>
            </w:pPr>
            <w:r>
              <w:rPr>
                <w:rFonts w:hint="eastAsia" w:ascii="仿宋" w:hAnsi="仿宋" w:eastAsia="仿宋" w:cs="宋体"/>
              </w:rPr>
              <w:t>用于检测前列腺疾病、前列腺癌的诊断及疗效监测。</w:t>
            </w:r>
          </w:p>
        </w:tc>
      </w:tr>
      <w:tr w14:paraId="4D0793CB">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3A0F4BC6">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C1F2880">
            <w:pPr>
              <w:widowControl/>
              <w:spacing w:line="240" w:lineRule="exact"/>
              <w:jc w:val="left"/>
              <w:rPr>
                <w:rFonts w:ascii="仿宋" w:hAnsi="仿宋" w:eastAsia="仿宋" w:cs="宋体"/>
              </w:rPr>
            </w:pPr>
            <w:r>
              <w:rPr>
                <w:rFonts w:hint="eastAsia" w:ascii="仿宋" w:hAnsi="仿宋" w:eastAsia="仿宋" w:cs="宋体"/>
              </w:rPr>
              <w:t>前列腺特异性抗原（TPSA）（男）</w:t>
            </w:r>
          </w:p>
        </w:tc>
        <w:tc>
          <w:tcPr>
            <w:tcW w:w="4962" w:type="dxa"/>
            <w:tcBorders>
              <w:top w:val="nil"/>
              <w:left w:val="nil"/>
              <w:bottom w:val="single" w:color="auto" w:sz="4" w:space="0"/>
              <w:right w:val="single" w:color="auto" w:sz="4" w:space="0"/>
            </w:tcBorders>
            <w:shd w:val="clear" w:color="auto" w:fill="auto"/>
            <w:vAlign w:val="center"/>
          </w:tcPr>
          <w:p w14:paraId="02639EE9">
            <w:pPr>
              <w:widowControl/>
              <w:spacing w:line="240" w:lineRule="exact"/>
              <w:jc w:val="left"/>
              <w:rPr>
                <w:rFonts w:ascii="仿宋" w:hAnsi="仿宋" w:eastAsia="仿宋" w:cs="宋体"/>
              </w:rPr>
            </w:pPr>
            <w:r>
              <w:rPr>
                <w:rFonts w:hint="eastAsia" w:ascii="仿宋" w:hAnsi="仿宋" w:eastAsia="仿宋" w:cs="宋体"/>
              </w:rPr>
              <w:t>用于检测前列腺疾病、前列腺癌的诊断及疗效监测。</w:t>
            </w:r>
          </w:p>
        </w:tc>
      </w:tr>
      <w:tr w14:paraId="6B2AC4A1">
        <w:tblPrEx>
          <w:tblCellMar>
            <w:top w:w="0" w:type="dxa"/>
            <w:left w:w="108" w:type="dxa"/>
            <w:bottom w:w="0" w:type="dxa"/>
            <w:right w:w="108" w:type="dxa"/>
          </w:tblCellMar>
        </w:tblPrEx>
        <w:trPr>
          <w:trHeight w:val="735" w:hRule="atLeast"/>
        </w:trPr>
        <w:tc>
          <w:tcPr>
            <w:tcW w:w="1419" w:type="dxa"/>
            <w:vMerge w:val="continue"/>
            <w:tcBorders>
              <w:top w:val="nil"/>
              <w:left w:val="single" w:color="auto" w:sz="4" w:space="0"/>
              <w:bottom w:val="single" w:color="auto" w:sz="4" w:space="0"/>
              <w:right w:val="single" w:color="auto" w:sz="4" w:space="0"/>
            </w:tcBorders>
            <w:vAlign w:val="center"/>
          </w:tcPr>
          <w:p w14:paraId="7C8957B1">
            <w:pPr>
              <w:widowControl/>
              <w:spacing w:line="240" w:lineRule="exact"/>
              <w:jc w:val="left"/>
              <w:rPr>
                <w:rFonts w:ascii="仿宋" w:hAnsi="仿宋" w:eastAsia="仿宋" w:cs="宋体"/>
                <w:b/>
                <w:bCs/>
              </w:rPr>
            </w:pPr>
          </w:p>
        </w:tc>
        <w:tc>
          <w:tcPr>
            <w:tcW w:w="2976" w:type="dxa"/>
            <w:tcBorders>
              <w:top w:val="single" w:color="auto" w:sz="4" w:space="0"/>
              <w:left w:val="nil"/>
              <w:bottom w:val="single" w:color="auto" w:sz="4" w:space="0"/>
              <w:right w:val="single" w:color="auto" w:sz="4" w:space="0"/>
            </w:tcBorders>
            <w:shd w:val="clear" w:color="auto" w:fill="auto"/>
            <w:vAlign w:val="center"/>
          </w:tcPr>
          <w:p w14:paraId="301FA3DF">
            <w:pPr>
              <w:widowControl/>
              <w:spacing w:line="240" w:lineRule="exact"/>
              <w:jc w:val="left"/>
              <w:rPr>
                <w:rFonts w:ascii="仿宋" w:hAnsi="仿宋" w:eastAsia="仿宋" w:cs="宋体"/>
              </w:rPr>
            </w:pPr>
            <w:r>
              <w:rPr>
                <w:rFonts w:hint="eastAsia" w:ascii="仿宋" w:hAnsi="仿宋" w:eastAsia="仿宋" w:cs="宋体"/>
              </w:rPr>
              <w:t>f-PSA/t-PSA</w:t>
            </w:r>
          </w:p>
        </w:tc>
        <w:tc>
          <w:tcPr>
            <w:tcW w:w="4962" w:type="dxa"/>
            <w:tcBorders>
              <w:top w:val="single" w:color="auto" w:sz="4" w:space="0"/>
              <w:left w:val="nil"/>
              <w:bottom w:val="single" w:color="auto" w:sz="4" w:space="0"/>
              <w:right w:val="single" w:color="auto" w:sz="4" w:space="0"/>
            </w:tcBorders>
            <w:shd w:val="clear" w:color="auto" w:fill="auto"/>
            <w:vAlign w:val="center"/>
          </w:tcPr>
          <w:p w14:paraId="7A90AE3E">
            <w:pPr>
              <w:widowControl/>
              <w:spacing w:line="240" w:lineRule="exact"/>
              <w:jc w:val="left"/>
              <w:rPr>
                <w:rFonts w:ascii="仿宋" w:hAnsi="仿宋" w:eastAsia="仿宋" w:cs="宋体"/>
              </w:rPr>
            </w:pPr>
            <w:r>
              <w:rPr>
                <w:rFonts w:hint="eastAsia" w:ascii="仿宋" w:hAnsi="仿宋" w:eastAsia="仿宋" w:cs="宋体"/>
              </w:rPr>
              <w:t>前列腺炎、前列腺增生时，受检者t-PSA轻度升高。t-PSA与f-PSA同时升高，且f-PSA/t-PSA比值降低时，可提示有前列腺癌的可能。</w:t>
            </w:r>
          </w:p>
        </w:tc>
      </w:tr>
      <w:tr w14:paraId="086927CA">
        <w:tblPrEx>
          <w:tblCellMar>
            <w:top w:w="0" w:type="dxa"/>
            <w:left w:w="108" w:type="dxa"/>
            <w:bottom w:w="0" w:type="dxa"/>
            <w:right w:w="108" w:type="dxa"/>
          </w:tblCellMar>
        </w:tblPrEx>
        <w:trPr>
          <w:trHeight w:val="690" w:hRule="atLeast"/>
        </w:trPr>
        <w:tc>
          <w:tcPr>
            <w:tcW w:w="1419" w:type="dxa"/>
            <w:vMerge w:val="continue"/>
            <w:tcBorders>
              <w:top w:val="nil"/>
              <w:left w:val="single" w:color="auto" w:sz="4" w:space="0"/>
              <w:bottom w:val="single" w:color="auto" w:sz="4" w:space="0"/>
              <w:right w:val="single" w:color="auto" w:sz="4" w:space="0"/>
            </w:tcBorders>
            <w:vAlign w:val="center"/>
          </w:tcPr>
          <w:p w14:paraId="48B5F0EA">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9266AF9">
            <w:pPr>
              <w:widowControl/>
              <w:spacing w:line="240" w:lineRule="exact"/>
              <w:jc w:val="left"/>
              <w:rPr>
                <w:rFonts w:ascii="仿宋" w:hAnsi="仿宋" w:eastAsia="仿宋" w:cs="宋体"/>
              </w:rPr>
            </w:pPr>
            <w:r>
              <w:rPr>
                <w:rFonts w:hint="eastAsia" w:ascii="仿宋" w:hAnsi="仿宋" w:eastAsia="仿宋" w:cs="宋体"/>
              </w:rPr>
              <w:t>铁蛋白（FER）</w:t>
            </w:r>
          </w:p>
        </w:tc>
        <w:tc>
          <w:tcPr>
            <w:tcW w:w="4962" w:type="dxa"/>
            <w:tcBorders>
              <w:top w:val="nil"/>
              <w:left w:val="nil"/>
              <w:bottom w:val="single" w:color="auto" w:sz="4" w:space="0"/>
              <w:right w:val="single" w:color="auto" w:sz="4" w:space="0"/>
            </w:tcBorders>
            <w:shd w:val="clear" w:color="auto" w:fill="auto"/>
            <w:vAlign w:val="center"/>
          </w:tcPr>
          <w:p w14:paraId="1B2D6B3F">
            <w:pPr>
              <w:widowControl/>
              <w:spacing w:line="240" w:lineRule="exact"/>
              <w:jc w:val="left"/>
              <w:rPr>
                <w:rFonts w:ascii="仿宋" w:hAnsi="仿宋" w:eastAsia="仿宋" w:cs="宋体"/>
              </w:rPr>
            </w:pPr>
            <w:r>
              <w:rPr>
                <w:rFonts w:hint="eastAsia" w:ascii="仿宋" w:hAnsi="仿宋" w:eastAsia="仿宋" w:cs="宋体"/>
              </w:rPr>
              <w:t>是一种铁结合蛋白，存在于各组织，病理状态下释放入血液中。它不是肿瘤特异的标志物，但在多种癌症患者血液中，均有不同程度的升高。</w:t>
            </w:r>
          </w:p>
        </w:tc>
      </w:tr>
      <w:tr w14:paraId="2C7A002F">
        <w:tblPrEx>
          <w:tblCellMar>
            <w:top w:w="0" w:type="dxa"/>
            <w:left w:w="108" w:type="dxa"/>
            <w:bottom w:w="0" w:type="dxa"/>
            <w:right w:w="108" w:type="dxa"/>
          </w:tblCellMar>
        </w:tblPrEx>
        <w:trPr>
          <w:trHeight w:val="645" w:hRule="atLeast"/>
        </w:trPr>
        <w:tc>
          <w:tcPr>
            <w:tcW w:w="1419" w:type="dxa"/>
            <w:vMerge w:val="continue"/>
            <w:tcBorders>
              <w:top w:val="nil"/>
              <w:left w:val="single" w:color="auto" w:sz="4" w:space="0"/>
              <w:bottom w:val="single" w:color="auto" w:sz="4" w:space="0"/>
              <w:right w:val="single" w:color="auto" w:sz="4" w:space="0"/>
            </w:tcBorders>
            <w:vAlign w:val="center"/>
          </w:tcPr>
          <w:p w14:paraId="243DB4CD">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7C4640A0">
            <w:pPr>
              <w:widowControl/>
              <w:spacing w:line="240" w:lineRule="exact"/>
              <w:jc w:val="left"/>
              <w:rPr>
                <w:rFonts w:ascii="仿宋" w:hAnsi="仿宋" w:eastAsia="仿宋" w:cs="宋体"/>
              </w:rPr>
            </w:pPr>
            <w:r>
              <w:rPr>
                <w:rFonts w:hint="eastAsia" w:ascii="仿宋" w:hAnsi="仿宋" w:eastAsia="仿宋" w:cs="宋体"/>
              </w:rPr>
              <w:t>细胞角蛋白19片段测定(CYF21-1)</w:t>
            </w:r>
          </w:p>
        </w:tc>
        <w:tc>
          <w:tcPr>
            <w:tcW w:w="4962" w:type="dxa"/>
            <w:tcBorders>
              <w:top w:val="nil"/>
              <w:left w:val="nil"/>
              <w:bottom w:val="single" w:color="auto" w:sz="4" w:space="0"/>
              <w:right w:val="single" w:color="auto" w:sz="4" w:space="0"/>
            </w:tcBorders>
            <w:shd w:val="clear" w:color="auto" w:fill="auto"/>
            <w:vAlign w:val="center"/>
          </w:tcPr>
          <w:p w14:paraId="2C8E2D4A">
            <w:pPr>
              <w:widowControl/>
              <w:spacing w:line="240" w:lineRule="exact"/>
              <w:jc w:val="left"/>
              <w:rPr>
                <w:rFonts w:ascii="仿宋" w:hAnsi="仿宋" w:eastAsia="仿宋" w:cs="宋体"/>
              </w:rPr>
            </w:pPr>
            <w:r>
              <w:rPr>
                <w:rFonts w:hint="eastAsia" w:ascii="仿宋" w:hAnsi="仿宋" w:eastAsia="仿宋" w:cs="宋体"/>
              </w:rPr>
              <w:t>cyfra21-1cyfra21-1是细胞角蛋白19的可溶性片段，目前主要用做肿瘤标志物，对肺癌的诊断有较大意义。</w:t>
            </w:r>
          </w:p>
        </w:tc>
      </w:tr>
      <w:tr w14:paraId="306EDF79">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6A442EF2">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03566EF8">
            <w:pPr>
              <w:widowControl/>
              <w:spacing w:line="240" w:lineRule="exact"/>
              <w:jc w:val="left"/>
              <w:rPr>
                <w:rFonts w:ascii="仿宋" w:hAnsi="仿宋" w:eastAsia="仿宋" w:cs="宋体"/>
              </w:rPr>
            </w:pPr>
            <w:r>
              <w:rPr>
                <w:rFonts w:hint="eastAsia" w:ascii="仿宋" w:hAnsi="仿宋" w:eastAsia="仿宋" w:cs="宋体"/>
              </w:rPr>
              <w:t xml:space="preserve">β2微球蛋白检测（β2-MG）    </w:t>
            </w:r>
          </w:p>
        </w:tc>
        <w:tc>
          <w:tcPr>
            <w:tcW w:w="4962" w:type="dxa"/>
            <w:tcBorders>
              <w:top w:val="nil"/>
              <w:left w:val="nil"/>
              <w:bottom w:val="single" w:color="auto" w:sz="4" w:space="0"/>
              <w:right w:val="single" w:color="auto" w:sz="4" w:space="0"/>
            </w:tcBorders>
            <w:shd w:val="clear" w:color="auto" w:fill="auto"/>
            <w:vAlign w:val="center"/>
          </w:tcPr>
          <w:p w14:paraId="79F999A7">
            <w:pPr>
              <w:widowControl/>
              <w:spacing w:line="240" w:lineRule="exact"/>
              <w:jc w:val="left"/>
              <w:rPr>
                <w:rFonts w:ascii="仿宋" w:hAnsi="仿宋" w:eastAsia="仿宋" w:cs="宋体"/>
              </w:rPr>
            </w:pPr>
            <w:r>
              <w:rPr>
                <w:rFonts w:hint="eastAsia" w:ascii="仿宋" w:hAnsi="仿宋" w:eastAsia="仿宋" w:cs="宋体"/>
              </w:rPr>
              <w:t>肾功能评价和肿瘤的辅助诊断。</w:t>
            </w:r>
          </w:p>
        </w:tc>
      </w:tr>
      <w:tr w14:paraId="27A0E548">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1161B706">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A30B31A">
            <w:pPr>
              <w:widowControl/>
              <w:spacing w:line="240" w:lineRule="exact"/>
              <w:jc w:val="left"/>
              <w:rPr>
                <w:rFonts w:ascii="仿宋" w:hAnsi="仿宋" w:eastAsia="仿宋" w:cs="宋体"/>
              </w:rPr>
            </w:pPr>
            <w:r>
              <w:rPr>
                <w:rFonts w:hint="eastAsia" w:ascii="仿宋" w:hAnsi="仿宋" w:eastAsia="仿宋" w:cs="宋体"/>
              </w:rPr>
              <w:t>生长激素（HGH）</w:t>
            </w:r>
          </w:p>
        </w:tc>
        <w:tc>
          <w:tcPr>
            <w:tcW w:w="4962" w:type="dxa"/>
            <w:tcBorders>
              <w:top w:val="nil"/>
              <w:left w:val="nil"/>
              <w:bottom w:val="single" w:color="auto" w:sz="4" w:space="0"/>
              <w:right w:val="single" w:color="auto" w:sz="4" w:space="0"/>
            </w:tcBorders>
            <w:shd w:val="clear" w:color="auto" w:fill="auto"/>
            <w:vAlign w:val="center"/>
          </w:tcPr>
          <w:p w14:paraId="5926B1C4">
            <w:pPr>
              <w:widowControl/>
              <w:spacing w:line="240" w:lineRule="exact"/>
              <w:jc w:val="left"/>
              <w:rPr>
                <w:rFonts w:ascii="仿宋" w:hAnsi="仿宋" w:eastAsia="仿宋" w:cs="宋体"/>
              </w:rPr>
            </w:pPr>
            <w:r>
              <w:rPr>
                <w:rFonts w:hint="eastAsia" w:ascii="仿宋" w:hAnsi="仿宋" w:eastAsia="仿宋" w:cs="宋体"/>
              </w:rPr>
              <w:t>生长激素能促进人的生长，且能调节体内的物质代谢。</w:t>
            </w:r>
          </w:p>
        </w:tc>
      </w:tr>
      <w:tr w14:paraId="0DDBBBEF">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5670F6F2">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2F02E48C">
            <w:pPr>
              <w:widowControl/>
              <w:spacing w:line="240" w:lineRule="exact"/>
              <w:jc w:val="left"/>
              <w:rPr>
                <w:rFonts w:ascii="仿宋" w:hAnsi="仿宋" w:eastAsia="仿宋" w:cs="宋体"/>
              </w:rPr>
            </w:pPr>
            <w:r>
              <w:rPr>
                <w:rFonts w:hint="eastAsia" w:ascii="仿宋" w:hAnsi="仿宋" w:eastAsia="仿宋" w:cs="宋体"/>
              </w:rPr>
              <w:t xml:space="preserve">鳞状上皮细胞癌相关抗原测定（SCC） </w:t>
            </w:r>
          </w:p>
        </w:tc>
        <w:tc>
          <w:tcPr>
            <w:tcW w:w="4962" w:type="dxa"/>
            <w:tcBorders>
              <w:top w:val="nil"/>
              <w:left w:val="nil"/>
              <w:bottom w:val="single" w:color="auto" w:sz="4" w:space="0"/>
              <w:right w:val="single" w:color="auto" w:sz="4" w:space="0"/>
            </w:tcBorders>
            <w:shd w:val="clear" w:color="auto" w:fill="auto"/>
            <w:vAlign w:val="center"/>
          </w:tcPr>
          <w:p w14:paraId="4625B614">
            <w:pPr>
              <w:widowControl/>
              <w:spacing w:line="240" w:lineRule="exact"/>
              <w:jc w:val="left"/>
              <w:rPr>
                <w:rFonts w:ascii="仿宋" w:hAnsi="仿宋" w:eastAsia="仿宋" w:cs="宋体"/>
              </w:rPr>
            </w:pPr>
            <w:r>
              <w:rPr>
                <w:rFonts w:hint="eastAsia" w:ascii="仿宋" w:hAnsi="仿宋" w:eastAsia="仿宋" w:cs="宋体"/>
              </w:rPr>
              <w:t>鳞状细胞癌抗原（SCC）是一种主要用于辅助诊断鳞癌的肿瘤标志物。</w:t>
            </w:r>
          </w:p>
        </w:tc>
      </w:tr>
      <w:tr w14:paraId="2B976991">
        <w:tblPrEx>
          <w:tblCellMar>
            <w:top w:w="0" w:type="dxa"/>
            <w:left w:w="108" w:type="dxa"/>
            <w:bottom w:w="0" w:type="dxa"/>
            <w:right w:w="108" w:type="dxa"/>
          </w:tblCellMar>
        </w:tblPrEx>
        <w:trPr>
          <w:trHeight w:val="645" w:hRule="atLeast"/>
        </w:trPr>
        <w:tc>
          <w:tcPr>
            <w:tcW w:w="1419" w:type="dxa"/>
            <w:vMerge w:val="continue"/>
            <w:tcBorders>
              <w:top w:val="nil"/>
              <w:left w:val="single" w:color="auto" w:sz="4" w:space="0"/>
              <w:bottom w:val="single" w:color="auto" w:sz="4" w:space="0"/>
              <w:right w:val="single" w:color="auto" w:sz="4" w:space="0"/>
            </w:tcBorders>
            <w:vAlign w:val="center"/>
          </w:tcPr>
          <w:p w14:paraId="7EA88EE9">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ED0441B">
            <w:pPr>
              <w:widowControl/>
              <w:spacing w:line="240" w:lineRule="exact"/>
              <w:jc w:val="left"/>
              <w:rPr>
                <w:rFonts w:ascii="仿宋" w:hAnsi="仿宋" w:eastAsia="仿宋" w:cs="宋体"/>
              </w:rPr>
            </w:pPr>
            <w:r>
              <w:rPr>
                <w:rFonts w:hint="eastAsia" w:ascii="仿宋" w:hAnsi="仿宋" w:eastAsia="仿宋" w:cs="宋体"/>
              </w:rPr>
              <w:t>血清a-L-岩藻糖苷酶测定（AFU）</w:t>
            </w:r>
          </w:p>
        </w:tc>
        <w:tc>
          <w:tcPr>
            <w:tcW w:w="4962" w:type="dxa"/>
            <w:tcBorders>
              <w:top w:val="nil"/>
              <w:left w:val="nil"/>
              <w:bottom w:val="single" w:color="auto" w:sz="4" w:space="0"/>
              <w:right w:val="single" w:color="auto" w:sz="4" w:space="0"/>
            </w:tcBorders>
            <w:shd w:val="clear" w:color="auto" w:fill="auto"/>
            <w:vAlign w:val="center"/>
          </w:tcPr>
          <w:p w14:paraId="23F6BF09">
            <w:pPr>
              <w:widowControl/>
              <w:spacing w:line="240" w:lineRule="exact"/>
              <w:jc w:val="left"/>
              <w:rPr>
                <w:rFonts w:ascii="仿宋" w:hAnsi="仿宋" w:eastAsia="仿宋" w:cs="宋体"/>
              </w:rPr>
            </w:pPr>
            <w:r>
              <w:rPr>
                <w:rFonts w:hint="eastAsia" w:ascii="仿宋" w:hAnsi="仿宋" w:eastAsia="仿宋" w:cs="宋体"/>
              </w:rPr>
              <w:t>血清AFU活性动态曲线对判断肝癌治疗效果、估计愈后和预报复发有着极其重要意义。尤其与AFP同时测定，可提高原发性肝癌的诊断率，有较好的互补作用。</w:t>
            </w:r>
          </w:p>
        </w:tc>
      </w:tr>
      <w:tr w14:paraId="3149041C">
        <w:tblPrEx>
          <w:tblCellMar>
            <w:top w:w="0" w:type="dxa"/>
            <w:left w:w="108" w:type="dxa"/>
            <w:bottom w:w="0" w:type="dxa"/>
            <w:right w:w="108" w:type="dxa"/>
          </w:tblCellMar>
        </w:tblPrEx>
        <w:trPr>
          <w:trHeight w:val="750" w:hRule="atLeast"/>
        </w:trPr>
        <w:tc>
          <w:tcPr>
            <w:tcW w:w="1419" w:type="dxa"/>
            <w:vMerge w:val="continue"/>
            <w:tcBorders>
              <w:top w:val="nil"/>
              <w:left w:val="single" w:color="auto" w:sz="4" w:space="0"/>
              <w:bottom w:val="single" w:color="auto" w:sz="4" w:space="0"/>
              <w:right w:val="single" w:color="auto" w:sz="4" w:space="0"/>
            </w:tcBorders>
            <w:vAlign w:val="center"/>
          </w:tcPr>
          <w:p w14:paraId="1D6C27EC">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B2E402E">
            <w:pPr>
              <w:widowControl/>
              <w:spacing w:line="240" w:lineRule="exact"/>
              <w:jc w:val="left"/>
              <w:rPr>
                <w:rFonts w:ascii="仿宋" w:hAnsi="仿宋" w:eastAsia="仿宋" w:cs="宋体"/>
              </w:rPr>
            </w:pPr>
            <w:r>
              <w:rPr>
                <w:rFonts w:hint="eastAsia" w:ascii="仿宋" w:hAnsi="仿宋" w:eastAsia="仿宋" w:cs="宋体"/>
              </w:rPr>
              <w:t>胃蛋白酶原Ⅰ（PGⅠ）</w:t>
            </w:r>
          </w:p>
        </w:tc>
        <w:tc>
          <w:tcPr>
            <w:tcW w:w="4962" w:type="dxa"/>
            <w:tcBorders>
              <w:top w:val="nil"/>
              <w:left w:val="nil"/>
              <w:bottom w:val="single" w:color="auto" w:sz="4" w:space="0"/>
              <w:right w:val="single" w:color="auto" w:sz="4" w:space="0"/>
            </w:tcBorders>
            <w:shd w:val="clear" w:color="auto" w:fill="auto"/>
            <w:vAlign w:val="center"/>
          </w:tcPr>
          <w:p w14:paraId="064649A5">
            <w:pPr>
              <w:widowControl/>
              <w:spacing w:line="240" w:lineRule="exact"/>
              <w:jc w:val="left"/>
              <w:rPr>
                <w:rFonts w:ascii="仿宋" w:hAnsi="仿宋" w:eastAsia="仿宋" w:cs="宋体"/>
              </w:rPr>
            </w:pPr>
            <w:r>
              <w:rPr>
                <w:rFonts w:hint="eastAsia" w:ascii="仿宋" w:hAnsi="仿宋" w:eastAsia="仿宋" w:cs="宋体"/>
              </w:rPr>
              <w:t>PGI是检测胃泌酸腺细胞功能的指针，胃酸分泌增多PGI升高，分泌减少或胃粘膜腺体萎缩PGI降低。</w:t>
            </w:r>
          </w:p>
        </w:tc>
      </w:tr>
      <w:tr w14:paraId="19F0AC67">
        <w:tblPrEx>
          <w:tblCellMar>
            <w:top w:w="0" w:type="dxa"/>
            <w:left w:w="108" w:type="dxa"/>
            <w:bottom w:w="0" w:type="dxa"/>
            <w:right w:w="108" w:type="dxa"/>
          </w:tblCellMar>
        </w:tblPrEx>
        <w:trPr>
          <w:trHeight w:val="750" w:hRule="atLeast"/>
        </w:trPr>
        <w:tc>
          <w:tcPr>
            <w:tcW w:w="1419" w:type="dxa"/>
            <w:vMerge w:val="continue"/>
            <w:tcBorders>
              <w:top w:val="nil"/>
              <w:left w:val="single" w:color="auto" w:sz="4" w:space="0"/>
              <w:bottom w:val="single" w:color="auto" w:sz="4" w:space="0"/>
              <w:right w:val="single" w:color="auto" w:sz="4" w:space="0"/>
            </w:tcBorders>
            <w:vAlign w:val="center"/>
          </w:tcPr>
          <w:p w14:paraId="513D47E0">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461861C">
            <w:pPr>
              <w:widowControl/>
              <w:spacing w:line="240" w:lineRule="exact"/>
              <w:jc w:val="left"/>
              <w:rPr>
                <w:rFonts w:ascii="仿宋" w:hAnsi="仿宋" w:eastAsia="仿宋" w:cs="宋体"/>
              </w:rPr>
            </w:pPr>
            <w:r>
              <w:rPr>
                <w:rFonts w:hint="eastAsia" w:ascii="仿宋" w:hAnsi="仿宋" w:eastAsia="仿宋" w:cs="宋体"/>
              </w:rPr>
              <w:t>胃蛋白酶原Ⅱ（PGⅡ）</w:t>
            </w:r>
          </w:p>
        </w:tc>
        <w:tc>
          <w:tcPr>
            <w:tcW w:w="4962" w:type="dxa"/>
            <w:tcBorders>
              <w:top w:val="nil"/>
              <w:left w:val="nil"/>
              <w:bottom w:val="single" w:color="auto" w:sz="4" w:space="0"/>
              <w:right w:val="single" w:color="auto" w:sz="4" w:space="0"/>
            </w:tcBorders>
            <w:shd w:val="clear" w:color="auto" w:fill="auto"/>
            <w:vAlign w:val="center"/>
          </w:tcPr>
          <w:p w14:paraId="6C9ABC66">
            <w:pPr>
              <w:widowControl/>
              <w:spacing w:line="240" w:lineRule="exact"/>
              <w:jc w:val="left"/>
              <w:rPr>
                <w:rFonts w:ascii="仿宋" w:hAnsi="仿宋" w:eastAsia="仿宋" w:cs="宋体"/>
              </w:rPr>
            </w:pPr>
            <w:r>
              <w:fldChar w:fldCharType="begin"/>
            </w:r>
            <w:r>
              <w:instrText xml:space="preserve"> HYPERLINK "https://www.baidu.com/s?wd=%E8%83%83%E7%AA%A6&amp;tn=44039180_cpr&amp;fenlei=mv6quAkxTZn0IZRqIHckPjm4nH00T1d9PH0YnHf3rHbYuHTvPW0d0ZwV5Hcvrjm3rH6sPfKWUMw85HfYnjn4nH6sgvPsT6KdThsqpZwYTjCEQLGCpyw9Uz4Bmy-bIi4WUvYETgN-TLwGUv3EnHDkn1bzrj6Yrj64PWD1n1DLrf" \o "https://www.baidu.com/s?wd=%E8%83%83%E7%AA%A6&amp;tn=44039180_cpr&amp;fenlei=mv6quAkxTZn0IZRqIHckPjm4nH00T1d9PH0YnHf3rHbYuHTvPW0d0ZwV5Hcvrjm3rH6sPfKWUMw85HfYnjn4nH6sgvPsT6KdThsqpZwYTjCEQLGCpyw9Uz4Bmy-bIi4WUvYETgN-TLwGUv3EnHDkn1bzrj6Yrj64PWD1n1DLrf" </w:instrText>
            </w:r>
            <w:r>
              <w:fldChar w:fldCharType="separate"/>
            </w:r>
            <w:r>
              <w:rPr>
                <w:rFonts w:hint="eastAsia" w:ascii="仿宋" w:hAnsi="仿宋" w:eastAsia="仿宋" w:cs="宋体"/>
              </w:rPr>
              <w:t>PGII与胃底粘膜病变的相关性较大（相对于胃窦粘膜），其升高与胃底腺管萎缩、胃上皮化生或假幽门腺化生、异型增值有关。</w:t>
            </w:r>
            <w:r>
              <w:rPr>
                <w:rFonts w:hint="eastAsia" w:ascii="仿宋" w:hAnsi="仿宋" w:eastAsia="仿宋" w:cs="宋体"/>
              </w:rPr>
              <w:fldChar w:fldCharType="end"/>
            </w:r>
          </w:p>
        </w:tc>
      </w:tr>
      <w:tr w14:paraId="2AC1E19F">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05363B7D">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45FE797">
            <w:pPr>
              <w:widowControl/>
              <w:spacing w:line="240" w:lineRule="exact"/>
              <w:jc w:val="left"/>
              <w:rPr>
                <w:rFonts w:ascii="仿宋" w:hAnsi="仿宋" w:eastAsia="仿宋" w:cs="宋体"/>
              </w:rPr>
            </w:pPr>
            <w:r>
              <w:rPr>
                <w:rFonts w:hint="eastAsia" w:ascii="仿宋" w:hAnsi="仿宋" w:eastAsia="仿宋" w:cs="宋体"/>
              </w:rPr>
              <w:t>血清降钙素CT</w:t>
            </w:r>
          </w:p>
        </w:tc>
        <w:tc>
          <w:tcPr>
            <w:tcW w:w="4962" w:type="dxa"/>
            <w:tcBorders>
              <w:top w:val="nil"/>
              <w:left w:val="nil"/>
              <w:bottom w:val="single" w:color="auto" w:sz="4" w:space="0"/>
              <w:right w:val="single" w:color="auto" w:sz="4" w:space="0"/>
            </w:tcBorders>
            <w:shd w:val="clear" w:color="auto" w:fill="auto"/>
            <w:vAlign w:val="center"/>
          </w:tcPr>
          <w:p w14:paraId="57338B27">
            <w:pPr>
              <w:widowControl/>
              <w:spacing w:line="240" w:lineRule="exact"/>
              <w:jc w:val="left"/>
              <w:rPr>
                <w:rFonts w:ascii="仿宋" w:hAnsi="仿宋" w:eastAsia="仿宋" w:cs="宋体"/>
              </w:rPr>
            </w:pPr>
            <w:r>
              <w:rPr>
                <w:rFonts w:hint="eastAsia" w:ascii="仿宋" w:hAnsi="仿宋" w:eastAsia="仿宋" w:cs="宋体"/>
              </w:rPr>
              <w:t>有利于早期诊断甲状腺髓样癌及机体骨质疏松及分型。</w:t>
            </w:r>
          </w:p>
        </w:tc>
      </w:tr>
      <w:tr w14:paraId="64149E6B">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595C262D">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172B58AE">
            <w:pPr>
              <w:widowControl/>
              <w:spacing w:line="240" w:lineRule="exact"/>
              <w:jc w:val="left"/>
              <w:rPr>
                <w:rFonts w:ascii="仿宋" w:hAnsi="仿宋" w:eastAsia="仿宋" w:cs="宋体"/>
              </w:rPr>
            </w:pPr>
            <w:r>
              <w:rPr>
                <w:rFonts w:hint="eastAsia" w:ascii="仿宋" w:hAnsi="仿宋" w:eastAsia="仿宋" w:cs="宋体"/>
              </w:rPr>
              <w:t>病毒衣壳抗原IgA抗体（EB）</w:t>
            </w:r>
          </w:p>
        </w:tc>
        <w:tc>
          <w:tcPr>
            <w:tcW w:w="4962" w:type="dxa"/>
            <w:tcBorders>
              <w:top w:val="nil"/>
              <w:left w:val="nil"/>
              <w:bottom w:val="single" w:color="auto" w:sz="4" w:space="0"/>
              <w:right w:val="single" w:color="auto" w:sz="4" w:space="0"/>
            </w:tcBorders>
            <w:shd w:val="clear" w:color="auto" w:fill="auto"/>
            <w:vAlign w:val="center"/>
          </w:tcPr>
          <w:p w14:paraId="723BAE40">
            <w:pPr>
              <w:widowControl/>
              <w:spacing w:line="240" w:lineRule="exact"/>
              <w:jc w:val="left"/>
              <w:rPr>
                <w:rFonts w:ascii="仿宋" w:hAnsi="仿宋" w:eastAsia="仿宋" w:cs="宋体"/>
              </w:rPr>
            </w:pPr>
            <w:r>
              <w:rPr>
                <w:rFonts w:hint="eastAsia" w:ascii="仿宋" w:hAnsi="仿宋" w:eastAsia="仿宋" w:cs="宋体"/>
              </w:rPr>
              <w:t>用于鼻咽癌的辅助诊断。</w:t>
            </w:r>
          </w:p>
        </w:tc>
      </w:tr>
      <w:tr w14:paraId="3F164802">
        <w:tblPrEx>
          <w:tblCellMar>
            <w:top w:w="0" w:type="dxa"/>
            <w:left w:w="108" w:type="dxa"/>
            <w:bottom w:w="0" w:type="dxa"/>
            <w:right w:w="108" w:type="dxa"/>
          </w:tblCellMar>
        </w:tblPrEx>
        <w:trPr>
          <w:trHeight w:val="402" w:hRule="atLeast"/>
        </w:trPr>
        <w:tc>
          <w:tcPr>
            <w:tcW w:w="1419" w:type="dxa"/>
            <w:vMerge w:val="continue"/>
            <w:tcBorders>
              <w:top w:val="nil"/>
              <w:left w:val="single" w:color="auto" w:sz="4" w:space="0"/>
              <w:bottom w:val="single" w:color="auto" w:sz="4" w:space="0"/>
              <w:right w:val="single" w:color="auto" w:sz="4" w:space="0"/>
            </w:tcBorders>
            <w:vAlign w:val="center"/>
          </w:tcPr>
          <w:p w14:paraId="636C5515">
            <w:pPr>
              <w:widowControl/>
              <w:spacing w:line="240" w:lineRule="exact"/>
              <w:jc w:val="left"/>
              <w:rPr>
                <w:rFonts w:ascii="仿宋" w:hAnsi="仿宋" w:eastAsia="仿宋" w:cs="宋体"/>
                <w:b/>
                <w:bCs/>
              </w:rPr>
            </w:pPr>
          </w:p>
        </w:tc>
        <w:tc>
          <w:tcPr>
            <w:tcW w:w="2976" w:type="dxa"/>
            <w:tcBorders>
              <w:top w:val="nil"/>
              <w:left w:val="nil"/>
              <w:bottom w:val="single" w:color="auto" w:sz="4" w:space="0"/>
              <w:right w:val="single" w:color="auto" w:sz="4" w:space="0"/>
            </w:tcBorders>
            <w:shd w:val="clear" w:color="auto" w:fill="auto"/>
            <w:vAlign w:val="center"/>
          </w:tcPr>
          <w:p w14:paraId="5B7FA25E">
            <w:pPr>
              <w:widowControl/>
              <w:spacing w:line="240" w:lineRule="exact"/>
              <w:jc w:val="left"/>
              <w:rPr>
                <w:rFonts w:ascii="仿宋" w:hAnsi="仿宋" w:eastAsia="仿宋" w:cs="宋体"/>
              </w:rPr>
            </w:pPr>
            <w:r>
              <w:rPr>
                <w:rFonts w:hint="eastAsia" w:ascii="仿宋" w:hAnsi="仿宋" w:eastAsia="仿宋" w:cs="宋体"/>
              </w:rPr>
              <w:t>人附睾蛋白4（HE4）</w:t>
            </w:r>
          </w:p>
        </w:tc>
        <w:tc>
          <w:tcPr>
            <w:tcW w:w="4962" w:type="dxa"/>
            <w:tcBorders>
              <w:top w:val="nil"/>
              <w:left w:val="nil"/>
              <w:bottom w:val="single" w:color="auto" w:sz="4" w:space="0"/>
              <w:right w:val="single" w:color="auto" w:sz="4" w:space="0"/>
            </w:tcBorders>
            <w:shd w:val="clear" w:color="auto" w:fill="auto"/>
            <w:vAlign w:val="center"/>
          </w:tcPr>
          <w:p w14:paraId="1DD6526F">
            <w:pPr>
              <w:widowControl/>
              <w:spacing w:line="240" w:lineRule="exact"/>
              <w:jc w:val="left"/>
              <w:rPr>
                <w:rFonts w:ascii="仿宋" w:hAnsi="仿宋" w:eastAsia="仿宋" w:cs="宋体"/>
              </w:rPr>
            </w:pPr>
            <w:r>
              <w:rPr>
                <w:rFonts w:hint="eastAsia" w:ascii="仿宋" w:hAnsi="仿宋" w:eastAsia="仿宋" w:cs="宋体"/>
              </w:rPr>
              <w:t>HE4在卵巢癌诊断中有重要意义,与CA125二者联合检测可提高卵巢癌的辅助诊断。</w:t>
            </w:r>
          </w:p>
        </w:tc>
      </w:tr>
      <w:tr w14:paraId="36870188">
        <w:tblPrEx>
          <w:tblCellMar>
            <w:top w:w="0" w:type="dxa"/>
            <w:left w:w="108" w:type="dxa"/>
            <w:bottom w:w="0" w:type="dxa"/>
            <w:right w:w="108" w:type="dxa"/>
          </w:tblCellMar>
        </w:tblPrEx>
        <w:trPr>
          <w:trHeight w:val="402"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08932430">
            <w:pPr>
              <w:widowControl/>
              <w:spacing w:line="240" w:lineRule="exact"/>
              <w:jc w:val="center"/>
              <w:rPr>
                <w:rFonts w:ascii="仿宋" w:hAnsi="仿宋" w:eastAsia="仿宋" w:cs="宋体"/>
              </w:rPr>
            </w:pPr>
            <w:r>
              <w:rPr>
                <w:rFonts w:hint="eastAsia" w:ascii="仿宋" w:hAnsi="仿宋" w:eastAsia="仿宋" w:cs="宋体"/>
              </w:rPr>
              <w:t>肾功能</w:t>
            </w:r>
          </w:p>
        </w:tc>
        <w:tc>
          <w:tcPr>
            <w:tcW w:w="2976" w:type="dxa"/>
            <w:tcBorders>
              <w:top w:val="nil"/>
              <w:left w:val="nil"/>
              <w:bottom w:val="single" w:color="auto" w:sz="4" w:space="0"/>
              <w:right w:val="single" w:color="auto" w:sz="4" w:space="0"/>
            </w:tcBorders>
            <w:shd w:val="clear" w:color="auto" w:fill="auto"/>
            <w:vAlign w:val="center"/>
          </w:tcPr>
          <w:p w14:paraId="655687E7">
            <w:pPr>
              <w:widowControl/>
              <w:spacing w:line="240" w:lineRule="exact"/>
              <w:jc w:val="left"/>
              <w:rPr>
                <w:rFonts w:ascii="仿宋" w:hAnsi="仿宋" w:eastAsia="仿宋" w:cs="宋体"/>
              </w:rPr>
            </w:pPr>
            <w:r>
              <w:rPr>
                <w:rFonts w:hint="eastAsia" w:ascii="仿宋" w:hAnsi="仿宋" w:eastAsia="仿宋" w:cs="宋体"/>
              </w:rPr>
              <w:t xml:space="preserve">血尿素氮（BUN）,血肌酸酐（CR）,血清尿酸检测（UA）      </w:t>
            </w:r>
          </w:p>
        </w:tc>
        <w:tc>
          <w:tcPr>
            <w:tcW w:w="4962" w:type="dxa"/>
            <w:tcBorders>
              <w:top w:val="nil"/>
              <w:left w:val="nil"/>
              <w:bottom w:val="single" w:color="auto" w:sz="4" w:space="0"/>
              <w:right w:val="single" w:color="auto" w:sz="4" w:space="0"/>
            </w:tcBorders>
            <w:shd w:val="clear" w:color="auto" w:fill="auto"/>
            <w:vAlign w:val="center"/>
          </w:tcPr>
          <w:p w14:paraId="776FE367">
            <w:pPr>
              <w:widowControl/>
              <w:spacing w:line="240" w:lineRule="exact"/>
              <w:jc w:val="left"/>
              <w:rPr>
                <w:rFonts w:ascii="仿宋" w:hAnsi="仿宋" w:eastAsia="仿宋" w:cs="宋体"/>
              </w:rPr>
            </w:pPr>
            <w:r>
              <w:rPr>
                <w:rFonts w:hint="eastAsia" w:ascii="仿宋" w:hAnsi="仿宋" w:eastAsia="仿宋" w:cs="宋体"/>
              </w:rPr>
              <w:t>用于诊断肾功能异常，痛风，高尿酸血症等。</w:t>
            </w:r>
          </w:p>
        </w:tc>
      </w:tr>
      <w:tr w14:paraId="5BCCDF2B">
        <w:tblPrEx>
          <w:tblCellMar>
            <w:top w:w="0" w:type="dxa"/>
            <w:left w:w="108" w:type="dxa"/>
            <w:bottom w:w="0" w:type="dxa"/>
            <w:right w:w="108" w:type="dxa"/>
          </w:tblCellMar>
        </w:tblPrEx>
        <w:trPr>
          <w:trHeight w:val="585"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5D1AD575">
            <w:pPr>
              <w:widowControl/>
              <w:spacing w:line="240" w:lineRule="exact"/>
              <w:jc w:val="center"/>
              <w:rPr>
                <w:rFonts w:ascii="仿宋" w:hAnsi="仿宋" w:eastAsia="仿宋" w:cs="宋体"/>
              </w:rPr>
            </w:pPr>
            <w:r>
              <w:rPr>
                <w:rFonts w:hint="eastAsia" w:ascii="仿宋" w:hAnsi="仿宋" w:eastAsia="仿宋" w:cs="宋体"/>
              </w:rPr>
              <w:t>心电图</w:t>
            </w:r>
          </w:p>
        </w:tc>
        <w:tc>
          <w:tcPr>
            <w:tcW w:w="2976" w:type="dxa"/>
            <w:tcBorders>
              <w:top w:val="nil"/>
              <w:left w:val="nil"/>
              <w:bottom w:val="single" w:color="auto" w:sz="4" w:space="0"/>
              <w:right w:val="single" w:color="auto" w:sz="4" w:space="0"/>
            </w:tcBorders>
            <w:shd w:val="clear" w:color="auto" w:fill="auto"/>
            <w:vAlign w:val="center"/>
          </w:tcPr>
          <w:p w14:paraId="55838BD7">
            <w:pPr>
              <w:widowControl/>
              <w:spacing w:line="240" w:lineRule="exact"/>
              <w:jc w:val="left"/>
              <w:rPr>
                <w:rFonts w:ascii="仿宋" w:hAnsi="仿宋" w:eastAsia="仿宋" w:cs="宋体"/>
              </w:rPr>
            </w:pPr>
            <w:r>
              <w:rPr>
                <w:rFonts w:hint="eastAsia" w:ascii="仿宋" w:hAnsi="仿宋" w:eastAsia="仿宋" w:cs="宋体"/>
              </w:rPr>
              <w:t>静态心电图检查(ECG)</w:t>
            </w:r>
          </w:p>
        </w:tc>
        <w:tc>
          <w:tcPr>
            <w:tcW w:w="4962" w:type="dxa"/>
            <w:tcBorders>
              <w:top w:val="nil"/>
              <w:left w:val="nil"/>
              <w:bottom w:val="single" w:color="auto" w:sz="4" w:space="0"/>
              <w:right w:val="single" w:color="auto" w:sz="4" w:space="0"/>
            </w:tcBorders>
            <w:shd w:val="clear" w:color="auto" w:fill="auto"/>
            <w:vAlign w:val="center"/>
          </w:tcPr>
          <w:p w14:paraId="14E8FB85">
            <w:pPr>
              <w:widowControl/>
              <w:spacing w:line="240" w:lineRule="exact"/>
              <w:jc w:val="left"/>
              <w:rPr>
                <w:rFonts w:ascii="仿宋" w:hAnsi="仿宋" w:eastAsia="仿宋" w:cs="宋体"/>
              </w:rPr>
            </w:pPr>
            <w:r>
              <w:rPr>
                <w:rFonts w:hint="eastAsia" w:ascii="仿宋" w:hAnsi="仿宋" w:eastAsia="仿宋" w:cs="宋体"/>
              </w:rPr>
              <w:t>通过在体表特定部位同步记录和分析心脏每一个心动周期所产生电活动变化的曲线图形，为心脏疾病诊断、疗效评价、预后评估提供重要的依据。</w:t>
            </w:r>
          </w:p>
        </w:tc>
      </w:tr>
      <w:tr w14:paraId="172DED2A">
        <w:tblPrEx>
          <w:tblCellMar>
            <w:top w:w="0" w:type="dxa"/>
            <w:left w:w="108" w:type="dxa"/>
            <w:bottom w:w="0" w:type="dxa"/>
            <w:right w:w="108" w:type="dxa"/>
          </w:tblCellMar>
        </w:tblPrEx>
        <w:trPr>
          <w:trHeight w:val="720" w:hRule="atLeast"/>
        </w:trPr>
        <w:tc>
          <w:tcPr>
            <w:tcW w:w="1419" w:type="dxa"/>
            <w:vMerge w:val="restart"/>
            <w:tcBorders>
              <w:top w:val="nil"/>
              <w:left w:val="single" w:color="auto" w:sz="4" w:space="0"/>
              <w:bottom w:val="single" w:color="auto" w:sz="4" w:space="0"/>
              <w:right w:val="single" w:color="auto" w:sz="4" w:space="0"/>
            </w:tcBorders>
            <w:shd w:val="clear" w:color="auto" w:fill="auto"/>
            <w:vAlign w:val="center"/>
          </w:tcPr>
          <w:p w14:paraId="1B2D2C2C">
            <w:pPr>
              <w:widowControl/>
              <w:spacing w:line="240" w:lineRule="exact"/>
              <w:jc w:val="center"/>
              <w:rPr>
                <w:rFonts w:ascii="仿宋" w:hAnsi="仿宋" w:eastAsia="仿宋" w:cs="宋体"/>
              </w:rPr>
            </w:pPr>
            <w:r>
              <w:rPr>
                <w:rFonts w:hint="eastAsia" w:ascii="仿宋" w:hAnsi="仿宋" w:eastAsia="仿宋" w:cs="宋体"/>
              </w:rPr>
              <w:t>彩色超声检查（B超）</w:t>
            </w:r>
          </w:p>
        </w:tc>
        <w:tc>
          <w:tcPr>
            <w:tcW w:w="2976" w:type="dxa"/>
            <w:tcBorders>
              <w:top w:val="nil"/>
              <w:left w:val="nil"/>
              <w:bottom w:val="single" w:color="auto" w:sz="4" w:space="0"/>
              <w:right w:val="single" w:color="auto" w:sz="4" w:space="0"/>
            </w:tcBorders>
            <w:shd w:val="clear" w:color="auto" w:fill="auto"/>
            <w:vAlign w:val="center"/>
          </w:tcPr>
          <w:p w14:paraId="4599B87F">
            <w:pPr>
              <w:widowControl/>
              <w:spacing w:line="240" w:lineRule="exact"/>
              <w:jc w:val="left"/>
              <w:rPr>
                <w:rFonts w:ascii="仿宋" w:hAnsi="仿宋" w:eastAsia="仿宋" w:cs="宋体"/>
              </w:rPr>
            </w:pPr>
            <w:r>
              <w:rPr>
                <w:rFonts w:hint="eastAsia" w:ascii="仿宋" w:hAnsi="仿宋" w:eastAsia="仿宋" w:cs="宋体"/>
              </w:rPr>
              <w:t xml:space="preserve">肝,胆,脾,胰脏     </w:t>
            </w:r>
          </w:p>
        </w:tc>
        <w:tc>
          <w:tcPr>
            <w:tcW w:w="4962" w:type="dxa"/>
            <w:tcBorders>
              <w:top w:val="nil"/>
              <w:left w:val="nil"/>
              <w:bottom w:val="single" w:color="auto" w:sz="4" w:space="0"/>
              <w:right w:val="single" w:color="auto" w:sz="4" w:space="0"/>
            </w:tcBorders>
            <w:shd w:val="clear" w:color="auto" w:fill="auto"/>
            <w:vAlign w:val="center"/>
          </w:tcPr>
          <w:p w14:paraId="241D2D89">
            <w:pPr>
              <w:widowControl/>
              <w:spacing w:line="240" w:lineRule="exact"/>
              <w:jc w:val="left"/>
              <w:rPr>
                <w:rFonts w:ascii="仿宋" w:hAnsi="仿宋" w:eastAsia="仿宋" w:cs="宋体"/>
              </w:rPr>
            </w:pPr>
            <w:r>
              <w:rPr>
                <w:rFonts w:hint="eastAsia" w:ascii="仿宋" w:hAnsi="仿宋" w:eastAsia="仿宋" w:cs="宋体"/>
              </w:rPr>
              <w:t>通过彩色超声仪器对人体肝脏、胆囊、脾脏、胰腺进行检测，发现是否有形态学改变及占位性病变（肿瘤，结石，炎症等）。</w:t>
            </w:r>
          </w:p>
        </w:tc>
      </w:tr>
      <w:tr w14:paraId="27C32476">
        <w:tblPrEx>
          <w:tblCellMar>
            <w:top w:w="0" w:type="dxa"/>
            <w:left w:w="108" w:type="dxa"/>
            <w:bottom w:w="0" w:type="dxa"/>
            <w:right w:w="108" w:type="dxa"/>
          </w:tblCellMar>
        </w:tblPrEx>
        <w:trPr>
          <w:trHeight w:val="600" w:hRule="atLeast"/>
        </w:trPr>
        <w:tc>
          <w:tcPr>
            <w:tcW w:w="1419" w:type="dxa"/>
            <w:vMerge w:val="continue"/>
            <w:tcBorders>
              <w:top w:val="nil"/>
              <w:left w:val="single" w:color="auto" w:sz="4" w:space="0"/>
              <w:bottom w:val="single" w:color="auto" w:sz="4" w:space="0"/>
              <w:right w:val="single" w:color="auto" w:sz="4" w:space="0"/>
            </w:tcBorders>
            <w:vAlign w:val="center"/>
          </w:tcPr>
          <w:p w14:paraId="7AFEBBAF">
            <w:pPr>
              <w:widowControl/>
              <w:spacing w:line="240" w:lineRule="exact"/>
              <w:jc w:val="left"/>
              <w:rPr>
                <w:rFonts w:ascii="仿宋" w:hAnsi="仿宋" w:eastAsia="仿宋" w:cs="宋体"/>
              </w:rPr>
            </w:pPr>
          </w:p>
        </w:tc>
        <w:tc>
          <w:tcPr>
            <w:tcW w:w="2976" w:type="dxa"/>
            <w:tcBorders>
              <w:top w:val="nil"/>
              <w:left w:val="nil"/>
              <w:bottom w:val="single" w:color="auto" w:sz="4" w:space="0"/>
              <w:right w:val="single" w:color="auto" w:sz="4" w:space="0"/>
            </w:tcBorders>
            <w:shd w:val="clear" w:color="auto" w:fill="auto"/>
            <w:vAlign w:val="center"/>
          </w:tcPr>
          <w:p w14:paraId="003DC7D9">
            <w:pPr>
              <w:widowControl/>
              <w:spacing w:line="240" w:lineRule="exact"/>
              <w:jc w:val="left"/>
              <w:rPr>
                <w:rFonts w:ascii="仿宋" w:hAnsi="仿宋" w:eastAsia="仿宋" w:cs="宋体"/>
              </w:rPr>
            </w:pPr>
            <w:r>
              <w:rPr>
                <w:rFonts w:hint="eastAsia" w:ascii="仿宋" w:hAnsi="仿宋" w:eastAsia="仿宋" w:cs="宋体"/>
              </w:rPr>
              <w:t>双肾B超</w:t>
            </w:r>
          </w:p>
        </w:tc>
        <w:tc>
          <w:tcPr>
            <w:tcW w:w="4962" w:type="dxa"/>
            <w:tcBorders>
              <w:top w:val="nil"/>
              <w:left w:val="nil"/>
              <w:bottom w:val="single" w:color="auto" w:sz="4" w:space="0"/>
              <w:right w:val="single" w:color="auto" w:sz="4" w:space="0"/>
            </w:tcBorders>
            <w:shd w:val="clear" w:color="auto" w:fill="auto"/>
            <w:vAlign w:val="center"/>
          </w:tcPr>
          <w:p w14:paraId="3C39B671">
            <w:pPr>
              <w:widowControl/>
              <w:spacing w:line="240" w:lineRule="exact"/>
              <w:jc w:val="left"/>
              <w:rPr>
                <w:rFonts w:ascii="仿宋" w:hAnsi="仿宋" w:eastAsia="仿宋" w:cs="宋体"/>
              </w:rPr>
            </w:pPr>
            <w:r>
              <w:rPr>
                <w:rFonts w:hint="eastAsia" w:ascii="仿宋" w:hAnsi="仿宋" w:eastAsia="仿宋" w:cs="宋体"/>
              </w:rPr>
              <w:t>通过彩色超声仪器检测人体脏器双肾，依病灶周围血管情况、病灶内血流血供情况-良恶性病变鉴别；判断肾动脉狭窄、肿瘤、结石、积水等。</w:t>
            </w:r>
          </w:p>
        </w:tc>
      </w:tr>
      <w:tr w14:paraId="359052C1">
        <w:tblPrEx>
          <w:tblCellMar>
            <w:top w:w="0" w:type="dxa"/>
            <w:left w:w="108" w:type="dxa"/>
            <w:bottom w:w="0" w:type="dxa"/>
            <w:right w:w="108" w:type="dxa"/>
          </w:tblCellMar>
        </w:tblPrEx>
        <w:trPr>
          <w:trHeight w:val="660" w:hRule="atLeast"/>
        </w:trPr>
        <w:tc>
          <w:tcPr>
            <w:tcW w:w="1419" w:type="dxa"/>
            <w:vMerge w:val="continue"/>
            <w:tcBorders>
              <w:top w:val="nil"/>
              <w:left w:val="single" w:color="auto" w:sz="4" w:space="0"/>
              <w:bottom w:val="single" w:color="auto" w:sz="4" w:space="0"/>
              <w:right w:val="single" w:color="auto" w:sz="4" w:space="0"/>
            </w:tcBorders>
            <w:vAlign w:val="center"/>
          </w:tcPr>
          <w:p w14:paraId="7B924879">
            <w:pPr>
              <w:widowControl/>
              <w:spacing w:line="240" w:lineRule="exact"/>
              <w:jc w:val="left"/>
              <w:rPr>
                <w:rFonts w:ascii="仿宋" w:hAnsi="仿宋" w:eastAsia="仿宋" w:cs="宋体"/>
              </w:rPr>
            </w:pPr>
          </w:p>
        </w:tc>
        <w:tc>
          <w:tcPr>
            <w:tcW w:w="2976" w:type="dxa"/>
            <w:tcBorders>
              <w:top w:val="nil"/>
              <w:left w:val="nil"/>
              <w:bottom w:val="single" w:color="auto" w:sz="4" w:space="0"/>
              <w:right w:val="single" w:color="auto" w:sz="4" w:space="0"/>
            </w:tcBorders>
            <w:shd w:val="clear" w:color="auto" w:fill="auto"/>
            <w:vAlign w:val="center"/>
          </w:tcPr>
          <w:p w14:paraId="0598FF20">
            <w:pPr>
              <w:widowControl/>
              <w:spacing w:line="240" w:lineRule="exact"/>
              <w:jc w:val="left"/>
              <w:rPr>
                <w:rFonts w:ascii="仿宋" w:hAnsi="仿宋" w:eastAsia="仿宋" w:cs="宋体"/>
              </w:rPr>
            </w:pPr>
            <w:r>
              <w:rPr>
                <w:rFonts w:hint="eastAsia" w:ascii="仿宋" w:hAnsi="仿宋" w:eastAsia="仿宋" w:cs="宋体"/>
              </w:rPr>
              <w:t xml:space="preserve">甲状腺B超 </w:t>
            </w:r>
          </w:p>
        </w:tc>
        <w:tc>
          <w:tcPr>
            <w:tcW w:w="4962" w:type="dxa"/>
            <w:tcBorders>
              <w:top w:val="nil"/>
              <w:left w:val="nil"/>
              <w:bottom w:val="single" w:color="auto" w:sz="4" w:space="0"/>
              <w:right w:val="single" w:color="auto" w:sz="4" w:space="0"/>
            </w:tcBorders>
            <w:shd w:val="clear" w:color="auto" w:fill="auto"/>
            <w:vAlign w:val="center"/>
          </w:tcPr>
          <w:p w14:paraId="0AC4BFAB">
            <w:pPr>
              <w:widowControl/>
              <w:spacing w:line="240" w:lineRule="exact"/>
              <w:jc w:val="left"/>
              <w:rPr>
                <w:rFonts w:ascii="仿宋" w:hAnsi="仿宋" w:eastAsia="仿宋" w:cs="宋体"/>
              </w:rPr>
            </w:pPr>
            <w:r>
              <w:rPr>
                <w:rFonts w:hint="eastAsia" w:ascii="仿宋" w:hAnsi="仿宋" w:eastAsia="仿宋" w:cs="宋体"/>
              </w:rPr>
              <w:t>通过彩色超声仪器更清晰地观察甲状腺肿物、结节、肿大、炎症；可发现甲状腺肿、甲状腺囊肿、甲状腺炎、甲状腺瘤、甲状腺癌等疾病。</w:t>
            </w:r>
          </w:p>
        </w:tc>
      </w:tr>
      <w:tr w14:paraId="7B574B41">
        <w:tblPrEx>
          <w:tblCellMar>
            <w:top w:w="0" w:type="dxa"/>
            <w:left w:w="108" w:type="dxa"/>
            <w:bottom w:w="0" w:type="dxa"/>
            <w:right w:w="108" w:type="dxa"/>
          </w:tblCellMar>
        </w:tblPrEx>
        <w:trPr>
          <w:trHeight w:val="780" w:hRule="atLeast"/>
        </w:trPr>
        <w:tc>
          <w:tcPr>
            <w:tcW w:w="1419" w:type="dxa"/>
            <w:vMerge w:val="continue"/>
            <w:tcBorders>
              <w:top w:val="nil"/>
              <w:left w:val="single" w:color="auto" w:sz="4" w:space="0"/>
              <w:bottom w:val="single" w:color="auto" w:sz="4" w:space="0"/>
              <w:right w:val="single" w:color="auto" w:sz="4" w:space="0"/>
            </w:tcBorders>
            <w:vAlign w:val="center"/>
          </w:tcPr>
          <w:p w14:paraId="4E821629">
            <w:pPr>
              <w:widowControl/>
              <w:spacing w:line="240" w:lineRule="exact"/>
              <w:jc w:val="left"/>
              <w:rPr>
                <w:rFonts w:ascii="仿宋" w:hAnsi="仿宋" w:eastAsia="仿宋" w:cs="宋体"/>
              </w:rPr>
            </w:pPr>
          </w:p>
        </w:tc>
        <w:tc>
          <w:tcPr>
            <w:tcW w:w="2976" w:type="dxa"/>
            <w:tcBorders>
              <w:top w:val="nil"/>
              <w:left w:val="nil"/>
              <w:bottom w:val="single" w:color="auto" w:sz="4" w:space="0"/>
              <w:right w:val="single" w:color="auto" w:sz="4" w:space="0"/>
            </w:tcBorders>
            <w:shd w:val="clear" w:color="auto" w:fill="auto"/>
            <w:vAlign w:val="center"/>
          </w:tcPr>
          <w:p w14:paraId="4B4ABCD7">
            <w:pPr>
              <w:widowControl/>
              <w:spacing w:line="240" w:lineRule="exact"/>
              <w:jc w:val="left"/>
              <w:rPr>
                <w:rFonts w:ascii="仿宋" w:hAnsi="仿宋" w:eastAsia="仿宋" w:cs="宋体"/>
              </w:rPr>
            </w:pPr>
            <w:r>
              <w:rPr>
                <w:rFonts w:hint="eastAsia" w:ascii="仿宋" w:hAnsi="仿宋" w:eastAsia="仿宋" w:cs="宋体"/>
              </w:rPr>
              <w:t>前列腺超声检查（男）</w:t>
            </w:r>
          </w:p>
        </w:tc>
        <w:tc>
          <w:tcPr>
            <w:tcW w:w="4962" w:type="dxa"/>
            <w:tcBorders>
              <w:top w:val="nil"/>
              <w:left w:val="nil"/>
              <w:bottom w:val="single" w:color="auto" w:sz="4" w:space="0"/>
              <w:right w:val="single" w:color="auto" w:sz="4" w:space="0"/>
            </w:tcBorders>
            <w:shd w:val="clear" w:color="auto" w:fill="auto"/>
            <w:vAlign w:val="center"/>
          </w:tcPr>
          <w:p w14:paraId="59309EFD">
            <w:pPr>
              <w:widowControl/>
              <w:spacing w:line="240" w:lineRule="exact"/>
              <w:jc w:val="left"/>
              <w:rPr>
                <w:rFonts w:ascii="仿宋" w:hAnsi="仿宋" w:eastAsia="仿宋" w:cs="宋体"/>
              </w:rPr>
            </w:pPr>
            <w:r>
              <w:rPr>
                <w:rFonts w:hint="eastAsia" w:ascii="仿宋" w:hAnsi="仿宋" w:eastAsia="仿宋" w:cs="宋体"/>
              </w:rPr>
              <w:t>通过彩色超声仪器检查更清晰地观察前列腺大小、形态、结构等情况，判断有无前列腺增大、囊肿、结石，恶性病变等。</w:t>
            </w:r>
          </w:p>
        </w:tc>
      </w:tr>
      <w:tr w14:paraId="3667B4EF">
        <w:tblPrEx>
          <w:tblCellMar>
            <w:top w:w="0" w:type="dxa"/>
            <w:left w:w="108" w:type="dxa"/>
            <w:bottom w:w="0" w:type="dxa"/>
            <w:right w:w="108" w:type="dxa"/>
          </w:tblCellMar>
        </w:tblPrEx>
        <w:trPr>
          <w:trHeight w:val="402" w:hRule="atLeast"/>
        </w:trPr>
        <w:tc>
          <w:tcPr>
            <w:tcW w:w="1419" w:type="dxa"/>
            <w:tcBorders>
              <w:top w:val="nil"/>
              <w:left w:val="single" w:color="auto" w:sz="4" w:space="0"/>
              <w:bottom w:val="nil"/>
              <w:right w:val="single" w:color="auto" w:sz="4" w:space="0"/>
            </w:tcBorders>
            <w:shd w:val="clear" w:color="auto" w:fill="auto"/>
            <w:vAlign w:val="center"/>
          </w:tcPr>
          <w:p w14:paraId="1C452FBF">
            <w:pPr>
              <w:widowControl/>
              <w:spacing w:line="240" w:lineRule="exact"/>
              <w:jc w:val="center"/>
              <w:rPr>
                <w:rFonts w:ascii="仿宋" w:hAnsi="仿宋" w:eastAsia="仿宋" w:cs="宋体"/>
              </w:rPr>
            </w:pPr>
            <w:r>
              <w:rPr>
                <w:rFonts w:hint="eastAsia" w:ascii="仿宋" w:hAnsi="仿宋" w:eastAsia="仿宋" w:cs="宋体"/>
              </w:rPr>
              <w:t>影像检查</w:t>
            </w:r>
          </w:p>
        </w:tc>
        <w:tc>
          <w:tcPr>
            <w:tcW w:w="2976" w:type="dxa"/>
            <w:tcBorders>
              <w:top w:val="nil"/>
              <w:left w:val="nil"/>
              <w:bottom w:val="nil"/>
              <w:right w:val="single" w:color="auto" w:sz="4" w:space="0"/>
            </w:tcBorders>
            <w:shd w:val="clear" w:color="auto" w:fill="auto"/>
            <w:vAlign w:val="center"/>
          </w:tcPr>
          <w:p w14:paraId="7DB54882">
            <w:pPr>
              <w:widowControl/>
              <w:spacing w:line="240" w:lineRule="exact"/>
              <w:jc w:val="left"/>
              <w:rPr>
                <w:rFonts w:ascii="仿宋" w:hAnsi="仿宋" w:eastAsia="仿宋" w:cs="宋体"/>
              </w:rPr>
            </w:pPr>
            <w:r>
              <w:rPr>
                <w:rFonts w:hint="eastAsia" w:ascii="仿宋" w:hAnsi="仿宋" w:eastAsia="仿宋" w:cs="宋体"/>
              </w:rPr>
              <w:t>胸部CT</w:t>
            </w:r>
          </w:p>
        </w:tc>
        <w:tc>
          <w:tcPr>
            <w:tcW w:w="4962" w:type="dxa"/>
            <w:tcBorders>
              <w:top w:val="nil"/>
              <w:left w:val="nil"/>
              <w:bottom w:val="nil"/>
              <w:right w:val="single" w:color="auto" w:sz="4" w:space="0"/>
            </w:tcBorders>
            <w:shd w:val="clear" w:color="auto" w:fill="auto"/>
            <w:vAlign w:val="center"/>
          </w:tcPr>
          <w:p w14:paraId="3DCB93E6">
            <w:pPr>
              <w:widowControl/>
              <w:spacing w:line="240" w:lineRule="exact"/>
              <w:jc w:val="left"/>
              <w:rPr>
                <w:rFonts w:ascii="仿宋" w:hAnsi="仿宋" w:eastAsia="仿宋" w:cs="宋体"/>
              </w:rPr>
            </w:pPr>
            <w:r>
              <w:rPr>
                <w:rFonts w:hint="eastAsia" w:ascii="仿宋" w:hAnsi="仿宋" w:eastAsia="仿宋" w:cs="宋体"/>
              </w:rPr>
              <w:t>　诊断肺部疾病，纵膈疾病及心脏肥大等疾病</w:t>
            </w:r>
          </w:p>
        </w:tc>
      </w:tr>
      <w:tr w14:paraId="3B0D20A9">
        <w:tblPrEx>
          <w:tblCellMar>
            <w:top w:w="0" w:type="dxa"/>
            <w:left w:w="108" w:type="dxa"/>
            <w:bottom w:w="0" w:type="dxa"/>
            <w:right w:w="108" w:type="dxa"/>
          </w:tblCellMar>
        </w:tblPrEx>
        <w:trPr>
          <w:trHeight w:val="402" w:hRule="atLeast"/>
        </w:trPr>
        <w:tc>
          <w:tcPr>
            <w:tcW w:w="1419" w:type="dxa"/>
            <w:tcBorders>
              <w:top w:val="nil"/>
              <w:left w:val="single" w:color="auto" w:sz="4" w:space="0"/>
              <w:bottom w:val="single" w:color="auto" w:sz="4" w:space="0"/>
              <w:right w:val="single" w:color="auto" w:sz="4" w:space="0"/>
            </w:tcBorders>
            <w:shd w:val="clear" w:color="auto" w:fill="auto"/>
            <w:vAlign w:val="center"/>
          </w:tcPr>
          <w:p w14:paraId="56774B44">
            <w:pPr>
              <w:widowControl/>
              <w:spacing w:line="240" w:lineRule="exact"/>
              <w:jc w:val="center"/>
              <w:rPr>
                <w:rFonts w:ascii="仿宋" w:hAnsi="仿宋" w:eastAsia="仿宋" w:cs="宋体"/>
              </w:rPr>
            </w:pPr>
            <w:r>
              <w:rPr>
                <w:rFonts w:hint="eastAsia" w:ascii="仿宋" w:hAnsi="仿宋" w:eastAsia="仿宋" w:cs="宋体"/>
              </w:rPr>
              <w:t>早餐</w:t>
            </w:r>
          </w:p>
        </w:tc>
        <w:tc>
          <w:tcPr>
            <w:tcW w:w="2976" w:type="dxa"/>
            <w:tcBorders>
              <w:top w:val="nil"/>
              <w:left w:val="nil"/>
              <w:bottom w:val="single" w:color="auto" w:sz="4" w:space="0"/>
              <w:right w:val="single" w:color="auto" w:sz="4" w:space="0"/>
            </w:tcBorders>
            <w:shd w:val="clear" w:color="auto" w:fill="auto"/>
            <w:vAlign w:val="center"/>
          </w:tcPr>
          <w:p w14:paraId="228570B9">
            <w:pPr>
              <w:widowControl/>
              <w:spacing w:line="240" w:lineRule="exact"/>
              <w:jc w:val="left"/>
              <w:rPr>
                <w:rFonts w:ascii="仿宋" w:hAnsi="仿宋" w:eastAsia="仿宋" w:cs="宋体"/>
              </w:rPr>
            </w:pPr>
            <w:r>
              <w:rPr>
                <w:rFonts w:hint="eastAsia" w:ascii="仿宋" w:hAnsi="仿宋" w:eastAsia="仿宋" w:cs="宋体"/>
              </w:rPr>
              <w:t>营养早餐</w:t>
            </w:r>
          </w:p>
        </w:tc>
        <w:tc>
          <w:tcPr>
            <w:tcW w:w="4962" w:type="dxa"/>
            <w:tcBorders>
              <w:top w:val="nil"/>
              <w:left w:val="nil"/>
              <w:bottom w:val="single" w:color="auto" w:sz="4" w:space="0"/>
              <w:right w:val="single" w:color="auto" w:sz="4" w:space="0"/>
            </w:tcBorders>
            <w:shd w:val="clear" w:color="auto" w:fill="auto"/>
            <w:vAlign w:val="center"/>
          </w:tcPr>
          <w:p w14:paraId="72156BA8">
            <w:pPr>
              <w:widowControl/>
              <w:spacing w:line="240" w:lineRule="exact"/>
              <w:jc w:val="left"/>
              <w:rPr>
                <w:rFonts w:ascii="仿宋" w:hAnsi="仿宋" w:eastAsia="仿宋" w:cs="宋体"/>
              </w:rPr>
            </w:pPr>
          </w:p>
        </w:tc>
      </w:tr>
    </w:tbl>
    <w:p w14:paraId="5AC51404">
      <w:pPr>
        <w:rPr>
          <w:rFonts w:ascii="仿宋" w:hAnsi="仿宋" w:eastAsia="仿宋"/>
          <w:b/>
          <w:bCs/>
          <w:sz w:val="32"/>
          <w:szCs w:val="32"/>
        </w:rPr>
      </w:pPr>
      <w:r>
        <w:rPr>
          <w:rFonts w:hint="eastAsia" w:ascii="仿宋" w:hAnsi="仿宋" w:eastAsia="仿宋"/>
          <w:b/>
          <w:bCs/>
          <w:sz w:val="32"/>
          <w:szCs w:val="32"/>
        </w:rPr>
        <w:br w:type="page"/>
      </w:r>
    </w:p>
    <w:p w14:paraId="56F0F4E0">
      <w:pPr>
        <w:ind w:firstLine="3213" w:firstLineChars="1000"/>
      </w:pPr>
      <w:r>
        <w:rPr>
          <w:rFonts w:hint="eastAsia" w:ascii="仿宋" w:hAnsi="仿宋" w:eastAsia="仿宋"/>
          <w:b/>
          <w:bCs/>
          <w:sz w:val="32"/>
          <w:szCs w:val="32"/>
        </w:rPr>
        <w:t xml:space="preserve">第五章 </w:t>
      </w:r>
      <w:r>
        <w:rPr>
          <w:rFonts w:ascii="仿宋" w:hAnsi="仿宋" w:eastAsia="仿宋"/>
          <w:b/>
          <w:bCs/>
          <w:sz w:val="32"/>
          <w:szCs w:val="32"/>
        </w:rPr>
        <w:t>资格审查</w:t>
      </w:r>
    </w:p>
    <w:tbl>
      <w:tblPr>
        <w:tblStyle w:val="12"/>
        <w:tblW w:w="10535" w:type="dxa"/>
        <w:jc w:val="center"/>
        <w:tblLayout w:type="fixed"/>
        <w:tblCellMar>
          <w:top w:w="0" w:type="dxa"/>
          <w:left w:w="108" w:type="dxa"/>
          <w:bottom w:w="0" w:type="dxa"/>
          <w:right w:w="108" w:type="dxa"/>
        </w:tblCellMar>
      </w:tblPr>
      <w:tblGrid>
        <w:gridCol w:w="836"/>
        <w:gridCol w:w="990"/>
        <w:gridCol w:w="2353"/>
        <w:gridCol w:w="6356"/>
      </w:tblGrid>
      <w:tr w14:paraId="382B732E">
        <w:tblPrEx>
          <w:tblCellMar>
            <w:top w:w="0" w:type="dxa"/>
            <w:left w:w="108" w:type="dxa"/>
            <w:bottom w:w="0" w:type="dxa"/>
            <w:right w:w="108" w:type="dxa"/>
          </w:tblCellMar>
        </w:tblPrEx>
        <w:trPr>
          <w:trHeight w:val="463" w:hRule="atLeas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270767E">
            <w:pPr>
              <w:pStyle w:val="14"/>
              <w:spacing w:line="360" w:lineRule="auto"/>
              <w:jc w:val="center"/>
              <w:rPr>
                <w:rFonts w:ascii="仿宋" w:hAnsi="仿宋" w:eastAsia="仿宋"/>
                <w:b/>
                <w:bCs/>
                <w:sz w:val="24"/>
                <w:szCs w:val="24"/>
              </w:rPr>
            </w:pPr>
            <w:bookmarkStart w:id="0" w:name="OLE_LINK9"/>
            <w:r>
              <w:rPr>
                <w:rFonts w:ascii="仿宋" w:hAnsi="仿宋" w:eastAsia="仿宋"/>
                <w:b/>
                <w:bCs/>
                <w:sz w:val="24"/>
                <w:szCs w:val="24"/>
              </w:rPr>
              <w:t>条款号</w:t>
            </w:r>
            <w:bookmarkEnd w:id="0"/>
          </w:p>
        </w:tc>
        <w:tc>
          <w:tcPr>
            <w:tcW w:w="2353" w:type="dxa"/>
            <w:tcBorders>
              <w:top w:val="single" w:color="000000" w:sz="4" w:space="0"/>
              <w:bottom w:val="single" w:color="000000" w:sz="4" w:space="0"/>
              <w:right w:val="single" w:color="000000" w:sz="4" w:space="0"/>
            </w:tcBorders>
            <w:vAlign w:val="center"/>
          </w:tcPr>
          <w:p w14:paraId="4E8F4314">
            <w:pPr>
              <w:pStyle w:val="14"/>
              <w:spacing w:line="360" w:lineRule="auto"/>
              <w:jc w:val="center"/>
              <w:rPr>
                <w:rFonts w:ascii="仿宋" w:hAnsi="仿宋" w:eastAsia="仿宋"/>
                <w:b/>
                <w:bCs/>
                <w:sz w:val="24"/>
                <w:szCs w:val="24"/>
              </w:rPr>
            </w:pPr>
            <w:r>
              <w:rPr>
                <w:rFonts w:ascii="仿宋" w:hAnsi="仿宋" w:eastAsia="仿宋"/>
                <w:b/>
                <w:bCs/>
                <w:sz w:val="24"/>
                <w:szCs w:val="24"/>
              </w:rPr>
              <w:t>评审因素</w:t>
            </w:r>
          </w:p>
        </w:tc>
        <w:tc>
          <w:tcPr>
            <w:tcW w:w="6356" w:type="dxa"/>
            <w:tcBorders>
              <w:top w:val="single" w:color="000000" w:sz="4" w:space="0"/>
              <w:bottom w:val="single" w:color="000000" w:sz="4" w:space="0"/>
              <w:right w:val="single" w:color="000000" w:sz="4" w:space="0"/>
            </w:tcBorders>
            <w:vAlign w:val="center"/>
          </w:tcPr>
          <w:p w14:paraId="7F5E9CE1">
            <w:pPr>
              <w:pStyle w:val="14"/>
              <w:spacing w:line="360" w:lineRule="auto"/>
              <w:jc w:val="center"/>
              <w:rPr>
                <w:rFonts w:ascii="仿宋" w:hAnsi="仿宋" w:eastAsia="仿宋"/>
                <w:b/>
                <w:bCs/>
                <w:sz w:val="24"/>
                <w:szCs w:val="24"/>
              </w:rPr>
            </w:pPr>
            <w:r>
              <w:rPr>
                <w:rFonts w:ascii="仿宋" w:hAnsi="仿宋" w:eastAsia="仿宋"/>
                <w:b/>
                <w:bCs/>
                <w:sz w:val="24"/>
                <w:szCs w:val="24"/>
              </w:rPr>
              <w:t>评审标准</w:t>
            </w:r>
          </w:p>
        </w:tc>
      </w:tr>
      <w:tr w14:paraId="24C17656">
        <w:tblPrEx>
          <w:tblCellMar>
            <w:top w:w="0" w:type="dxa"/>
            <w:left w:w="108" w:type="dxa"/>
            <w:bottom w:w="0" w:type="dxa"/>
            <w:right w:w="108" w:type="dxa"/>
          </w:tblCellMar>
        </w:tblPrEx>
        <w:trPr>
          <w:trHeight w:val="549" w:hRule="atLeast"/>
          <w:jc w:val="center"/>
        </w:trPr>
        <w:tc>
          <w:tcPr>
            <w:tcW w:w="836" w:type="dxa"/>
            <w:vMerge w:val="restart"/>
            <w:tcBorders>
              <w:left w:val="single" w:color="000000" w:sz="4" w:space="0"/>
              <w:bottom w:val="single" w:color="000000" w:sz="4" w:space="0"/>
              <w:right w:val="single" w:color="000000" w:sz="4" w:space="0"/>
            </w:tcBorders>
            <w:vAlign w:val="center"/>
          </w:tcPr>
          <w:p w14:paraId="10CD5EEB">
            <w:pPr>
              <w:pStyle w:val="14"/>
              <w:spacing w:line="360" w:lineRule="auto"/>
              <w:jc w:val="center"/>
              <w:rPr>
                <w:rFonts w:ascii="仿宋" w:hAnsi="仿宋" w:eastAsia="仿宋"/>
                <w:sz w:val="24"/>
                <w:szCs w:val="24"/>
              </w:rPr>
            </w:pPr>
            <w:r>
              <w:rPr>
                <w:rFonts w:ascii="仿宋" w:hAnsi="仿宋" w:eastAsia="仿宋"/>
                <w:sz w:val="24"/>
                <w:szCs w:val="24"/>
              </w:rPr>
              <w:t>2.1.1</w:t>
            </w:r>
          </w:p>
        </w:tc>
        <w:tc>
          <w:tcPr>
            <w:tcW w:w="990" w:type="dxa"/>
            <w:vMerge w:val="restart"/>
            <w:tcBorders>
              <w:bottom w:val="single" w:color="000000" w:sz="4" w:space="0"/>
              <w:right w:val="single" w:color="000000" w:sz="4" w:space="0"/>
            </w:tcBorders>
            <w:vAlign w:val="center"/>
          </w:tcPr>
          <w:p w14:paraId="7C7C2624">
            <w:pPr>
              <w:pStyle w:val="14"/>
              <w:spacing w:line="360" w:lineRule="auto"/>
              <w:jc w:val="center"/>
              <w:rPr>
                <w:rFonts w:ascii="仿宋" w:hAnsi="仿宋" w:eastAsia="仿宋"/>
                <w:sz w:val="24"/>
                <w:szCs w:val="24"/>
              </w:rPr>
            </w:pPr>
            <w:r>
              <w:rPr>
                <w:rFonts w:ascii="仿宋" w:hAnsi="仿宋" w:eastAsia="仿宋"/>
                <w:sz w:val="24"/>
                <w:szCs w:val="24"/>
              </w:rPr>
              <w:t>形式评审标准</w:t>
            </w:r>
          </w:p>
        </w:tc>
        <w:tc>
          <w:tcPr>
            <w:tcW w:w="2353" w:type="dxa"/>
            <w:tcBorders>
              <w:top w:val="single" w:color="000000" w:sz="4" w:space="0"/>
              <w:bottom w:val="single" w:color="000000" w:sz="4" w:space="0"/>
              <w:right w:val="single" w:color="000000" w:sz="4" w:space="0"/>
            </w:tcBorders>
            <w:vAlign w:val="center"/>
          </w:tcPr>
          <w:p w14:paraId="3FEFE463">
            <w:pPr>
              <w:pStyle w:val="14"/>
              <w:spacing w:line="360" w:lineRule="auto"/>
              <w:rPr>
                <w:rFonts w:ascii="仿宋" w:hAnsi="仿宋" w:eastAsia="仿宋"/>
                <w:sz w:val="24"/>
                <w:szCs w:val="24"/>
              </w:rPr>
            </w:pPr>
            <w:r>
              <w:rPr>
                <w:rFonts w:ascii="仿宋" w:hAnsi="仿宋" w:eastAsia="仿宋"/>
                <w:sz w:val="24"/>
                <w:szCs w:val="24"/>
              </w:rPr>
              <w:t>磋商供应商名称</w:t>
            </w:r>
          </w:p>
        </w:tc>
        <w:tc>
          <w:tcPr>
            <w:tcW w:w="6356" w:type="dxa"/>
            <w:tcBorders>
              <w:top w:val="single" w:color="000000" w:sz="4" w:space="0"/>
              <w:bottom w:val="single" w:color="000000" w:sz="4" w:space="0"/>
              <w:right w:val="single" w:color="000000" w:sz="4" w:space="0"/>
            </w:tcBorders>
            <w:vAlign w:val="center"/>
          </w:tcPr>
          <w:p w14:paraId="5128C55D">
            <w:pPr>
              <w:pStyle w:val="14"/>
              <w:spacing w:line="360" w:lineRule="auto"/>
              <w:rPr>
                <w:rFonts w:ascii="仿宋" w:hAnsi="仿宋" w:eastAsia="仿宋"/>
                <w:sz w:val="24"/>
                <w:szCs w:val="24"/>
              </w:rPr>
            </w:pPr>
            <w:r>
              <w:rPr>
                <w:rFonts w:ascii="仿宋" w:hAnsi="仿宋" w:eastAsia="仿宋"/>
                <w:sz w:val="24"/>
                <w:szCs w:val="24"/>
              </w:rPr>
              <w:t>磋商供应商名称与营业执照；不一致的，提供有效证明材料</w:t>
            </w:r>
          </w:p>
        </w:tc>
      </w:tr>
      <w:tr w14:paraId="4D136F16">
        <w:tblPrEx>
          <w:tblCellMar>
            <w:top w:w="0" w:type="dxa"/>
            <w:left w:w="108" w:type="dxa"/>
            <w:bottom w:w="0" w:type="dxa"/>
            <w:right w:w="108" w:type="dxa"/>
          </w:tblCellMar>
        </w:tblPrEx>
        <w:trPr>
          <w:trHeight w:val="1113" w:hRule="atLeast"/>
          <w:jc w:val="center"/>
        </w:trPr>
        <w:tc>
          <w:tcPr>
            <w:tcW w:w="836" w:type="dxa"/>
            <w:vMerge w:val="continue"/>
            <w:tcBorders>
              <w:left w:val="single" w:color="000000" w:sz="4" w:space="0"/>
              <w:bottom w:val="single" w:color="000000" w:sz="4" w:space="0"/>
              <w:right w:val="single" w:color="000000" w:sz="4" w:space="0"/>
            </w:tcBorders>
            <w:vAlign w:val="center"/>
          </w:tcPr>
          <w:p w14:paraId="34D7DF0B">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70C3C2CE">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48BB39B9">
            <w:pPr>
              <w:pStyle w:val="14"/>
              <w:spacing w:line="360" w:lineRule="auto"/>
              <w:rPr>
                <w:rFonts w:ascii="仿宋" w:hAnsi="仿宋" w:eastAsia="仿宋"/>
                <w:sz w:val="24"/>
                <w:szCs w:val="24"/>
              </w:rPr>
            </w:pPr>
            <w:r>
              <w:rPr>
                <w:rFonts w:ascii="仿宋" w:hAnsi="仿宋" w:eastAsia="仿宋"/>
                <w:sz w:val="24"/>
                <w:szCs w:val="24"/>
              </w:rPr>
              <w:t>磋商文件签字盖章</w:t>
            </w:r>
          </w:p>
        </w:tc>
        <w:tc>
          <w:tcPr>
            <w:tcW w:w="6356" w:type="dxa"/>
            <w:tcBorders>
              <w:top w:val="single" w:color="000000" w:sz="4" w:space="0"/>
              <w:bottom w:val="single" w:color="000000" w:sz="4" w:space="0"/>
              <w:right w:val="single" w:color="000000" w:sz="4" w:space="0"/>
            </w:tcBorders>
            <w:vAlign w:val="center"/>
          </w:tcPr>
          <w:p w14:paraId="058D64FA">
            <w:pPr>
              <w:pStyle w:val="14"/>
              <w:spacing w:line="360" w:lineRule="auto"/>
              <w:rPr>
                <w:rFonts w:ascii="仿宋" w:hAnsi="仿宋" w:eastAsia="仿宋"/>
                <w:sz w:val="24"/>
                <w:szCs w:val="24"/>
              </w:rPr>
            </w:pPr>
            <w:r>
              <w:rPr>
                <w:rFonts w:ascii="仿宋" w:hAnsi="仿宋" w:eastAsia="仿宋"/>
                <w:sz w:val="24"/>
                <w:szCs w:val="24"/>
              </w:rPr>
              <w:t>加盖磋商供应商公章和企业法定代表人（或企业法定代表人委托代理人）印章（或签字）。委托代理人有合法、有效的委托书（原件）</w:t>
            </w:r>
          </w:p>
        </w:tc>
      </w:tr>
      <w:tr w14:paraId="7D0BA857">
        <w:tblPrEx>
          <w:tblCellMar>
            <w:top w:w="0" w:type="dxa"/>
            <w:left w:w="108" w:type="dxa"/>
            <w:bottom w:w="0" w:type="dxa"/>
            <w:right w:w="108" w:type="dxa"/>
          </w:tblCellMar>
        </w:tblPrEx>
        <w:trPr>
          <w:trHeight w:val="346" w:hRule="atLeast"/>
          <w:jc w:val="center"/>
        </w:trPr>
        <w:tc>
          <w:tcPr>
            <w:tcW w:w="836" w:type="dxa"/>
            <w:vMerge w:val="continue"/>
            <w:tcBorders>
              <w:left w:val="single" w:color="000000" w:sz="4" w:space="0"/>
              <w:bottom w:val="single" w:color="000000" w:sz="4" w:space="0"/>
              <w:right w:val="single" w:color="000000" w:sz="4" w:space="0"/>
            </w:tcBorders>
            <w:vAlign w:val="center"/>
          </w:tcPr>
          <w:p w14:paraId="203F0EA8">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7D031FE3">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75A6FE49">
            <w:pPr>
              <w:pStyle w:val="14"/>
              <w:snapToGrid w:val="0"/>
              <w:spacing w:line="360" w:lineRule="auto"/>
              <w:jc w:val="left"/>
              <w:rPr>
                <w:rFonts w:ascii="仿宋" w:hAnsi="仿宋" w:eastAsia="仿宋"/>
                <w:sz w:val="24"/>
                <w:szCs w:val="24"/>
              </w:rPr>
            </w:pPr>
            <w:r>
              <w:rPr>
                <w:rFonts w:ascii="仿宋" w:hAnsi="仿宋" w:eastAsia="仿宋"/>
                <w:sz w:val="24"/>
                <w:szCs w:val="24"/>
              </w:rPr>
              <w:t>资格审查文件格式</w:t>
            </w:r>
          </w:p>
        </w:tc>
        <w:tc>
          <w:tcPr>
            <w:tcW w:w="6356" w:type="dxa"/>
            <w:tcBorders>
              <w:top w:val="single" w:color="000000" w:sz="4" w:space="0"/>
              <w:bottom w:val="single" w:color="000000" w:sz="4" w:space="0"/>
              <w:right w:val="single" w:color="000000" w:sz="4" w:space="0"/>
            </w:tcBorders>
            <w:vAlign w:val="center"/>
          </w:tcPr>
          <w:p w14:paraId="46C7F82F">
            <w:pPr>
              <w:pStyle w:val="14"/>
              <w:snapToGrid w:val="0"/>
              <w:spacing w:line="360" w:lineRule="auto"/>
              <w:jc w:val="left"/>
              <w:rPr>
                <w:rFonts w:ascii="仿宋" w:hAnsi="仿宋" w:eastAsia="仿宋"/>
                <w:sz w:val="24"/>
                <w:szCs w:val="24"/>
              </w:rPr>
            </w:pPr>
            <w:r>
              <w:rPr>
                <w:rFonts w:ascii="仿宋" w:hAnsi="仿宋" w:eastAsia="仿宋"/>
                <w:sz w:val="24"/>
                <w:szCs w:val="24"/>
              </w:rPr>
              <w:t>符合磋商文件要求并附有所有相应表格</w:t>
            </w:r>
          </w:p>
        </w:tc>
      </w:tr>
      <w:tr w14:paraId="476F9ACB">
        <w:tblPrEx>
          <w:tblCellMar>
            <w:top w:w="0" w:type="dxa"/>
            <w:left w:w="108" w:type="dxa"/>
            <w:bottom w:w="0" w:type="dxa"/>
            <w:right w:w="108" w:type="dxa"/>
          </w:tblCellMar>
        </w:tblPrEx>
        <w:trPr>
          <w:trHeight w:val="595" w:hRule="atLeast"/>
          <w:jc w:val="center"/>
        </w:trPr>
        <w:tc>
          <w:tcPr>
            <w:tcW w:w="836" w:type="dxa"/>
            <w:vMerge w:val="restart"/>
            <w:tcBorders>
              <w:left w:val="single" w:color="000000" w:sz="4" w:space="0"/>
              <w:bottom w:val="single" w:color="000000" w:sz="4" w:space="0"/>
              <w:right w:val="single" w:color="000000" w:sz="4" w:space="0"/>
            </w:tcBorders>
            <w:vAlign w:val="center"/>
          </w:tcPr>
          <w:p w14:paraId="74CB9AE6">
            <w:pPr>
              <w:pStyle w:val="14"/>
              <w:spacing w:line="360" w:lineRule="auto"/>
              <w:jc w:val="center"/>
              <w:rPr>
                <w:rFonts w:ascii="仿宋" w:hAnsi="仿宋" w:eastAsia="仿宋"/>
                <w:sz w:val="24"/>
                <w:szCs w:val="24"/>
              </w:rPr>
            </w:pPr>
            <w:r>
              <w:rPr>
                <w:rFonts w:ascii="仿宋" w:hAnsi="仿宋" w:eastAsia="仿宋"/>
                <w:sz w:val="24"/>
                <w:szCs w:val="24"/>
              </w:rPr>
              <w:t>2.1.2</w:t>
            </w:r>
          </w:p>
        </w:tc>
        <w:tc>
          <w:tcPr>
            <w:tcW w:w="990" w:type="dxa"/>
            <w:vMerge w:val="restart"/>
            <w:tcBorders>
              <w:bottom w:val="single" w:color="000000" w:sz="4" w:space="0"/>
              <w:right w:val="single" w:color="000000" w:sz="4" w:space="0"/>
            </w:tcBorders>
            <w:vAlign w:val="center"/>
          </w:tcPr>
          <w:p w14:paraId="7AAE2B5F">
            <w:pPr>
              <w:pStyle w:val="14"/>
              <w:spacing w:line="360" w:lineRule="auto"/>
              <w:jc w:val="center"/>
              <w:rPr>
                <w:rFonts w:ascii="仿宋" w:hAnsi="仿宋" w:eastAsia="仿宋"/>
                <w:sz w:val="24"/>
                <w:szCs w:val="24"/>
              </w:rPr>
            </w:pPr>
            <w:r>
              <w:rPr>
                <w:rFonts w:ascii="仿宋" w:hAnsi="仿宋" w:eastAsia="仿宋"/>
                <w:sz w:val="24"/>
                <w:szCs w:val="24"/>
              </w:rPr>
              <w:t>资格评审标准</w:t>
            </w:r>
          </w:p>
        </w:tc>
        <w:tc>
          <w:tcPr>
            <w:tcW w:w="2353" w:type="dxa"/>
            <w:tcBorders>
              <w:top w:val="single" w:color="000000" w:sz="4" w:space="0"/>
              <w:bottom w:val="single" w:color="000000" w:sz="4" w:space="0"/>
              <w:right w:val="single" w:color="000000" w:sz="4" w:space="0"/>
            </w:tcBorders>
            <w:vAlign w:val="center"/>
          </w:tcPr>
          <w:p w14:paraId="76B55923">
            <w:pPr>
              <w:pStyle w:val="14"/>
              <w:spacing w:line="360" w:lineRule="auto"/>
              <w:jc w:val="left"/>
              <w:rPr>
                <w:rFonts w:ascii="仿宋" w:hAnsi="仿宋" w:eastAsia="仿宋"/>
                <w:sz w:val="24"/>
                <w:szCs w:val="24"/>
              </w:rPr>
            </w:pPr>
            <w:r>
              <w:rPr>
                <w:rFonts w:ascii="仿宋" w:hAnsi="仿宋" w:eastAsia="仿宋"/>
                <w:sz w:val="24"/>
                <w:szCs w:val="24"/>
              </w:rPr>
              <w:t>法定代表人身份证明书、授权委托书</w:t>
            </w:r>
          </w:p>
        </w:tc>
        <w:tc>
          <w:tcPr>
            <w:tcW w:w="6356" w:type="dxa"/>
            <w:tcBorders>
              <w:top w:val="single" w:color="000000" w:sz="4" w:space="0"/>
              <w:bottom w:val="single" w:color="000000" w:sz="4" w:space="0"/>
              <w:right w:val="single" w:color="000000" w:sz="4" w:space="0"/>
            </w:tcBorders>
          </w:tcPr>
          <w:p w14:paraId="6B641BD0">
            <w:pPr>
              <w:pStyle w:val="14"/>
              <w:spacing w:line="360" w:lineRule="auto"/>
              <w:jc w:val="left"/>
              <w:rPr>
                <w:rFonts w:ascii="仿宋" w:hAnsi="仿宋" w:eastAsia="仿宋"/>
                <w:sz w:val="24"/>
                <w:szCs w:val="24"/>
              </w:rPr>
            </w:pPr>
            <w:r>
              <w:rPr>
                <w:rFonts w:ascii="仿宋" w:hAnsi="仿宋" w:eastAsia="仿宋"/>
                <w:kern w:val="0"/>
                <w:sz w:val="24"/>
                <w:szCs w:val="24"/>
              </w:rPr>
              <w:t>法定代表人参加</w:t>
            </w:r>
            <w:r>
              <w:rPr>
                <w:rFonts w:hint="eastAsia" w:ascii="仿宋" w:hAnsi="仿宋" w:eastAsia="仿宋"/>
                <w:kern w:val="0"/>
                <w:sz w:val="24"/>
                <w:szCs w:val="24"/>
              </w:rPr>
              <w:t>磋商</w:t>
            </w:r>
            <w:r>
              <w:rPr>
                <w:rFonts w:ascii="仿宋" w:hAnsi="仿宋" w:eastAsia="仿宋"/>
                <w:kern w:val="0"/>
                <w:sz w:val="24"/>
                <w:szCs w:val="24"/>
              </w:rPr>
              <w:t>的，必须提供法人身份证明原件及本人身份证</w:t>
            </w:r>
            <w:r>
              <w:rPr>
                <w:rFonts w:hint="eastAsia" w:ascii="仿宋" w:hAnsi="仿宋" w:eastAsia="仿宋"/>
                <w:kern w:val="0"/>
                <w:sz w:val="24"/>
                <w:szCs w:val="24"/>
              </w:rPr>
              <w:t>复印</w:t>
            </w:r>
            <w:r>
              <w:rPr>
                <w:rFonts w:ascii="仿宋" w:hAnsi="仿宋" w:eastAsia="仿宋"/>
                <w:kern w:val="0"/>
                <w:sz w:val="24"/>
                <w:szCs w:val="24"/>
              </w:rPr>
              <w:t>件；非法定代表人参加</w:t>
            </w:r>
            <w:r>
              <w:rPr>
                <w:rFonts w:hint="eastAsia" w:ascii="仿宋" w:hAnsi="仿宋" w:eastAsia="仿宋"/>
                <w:kern w:val="0"/>
                <w:sz w:val="24"/>
                <w:szCs w:val="24"/>
              </w:rPr>
              <w:t>磋商</w:t>
            </w:r>
            <w:r>
              <w:rPr>
                <w:rFonts w:ascii="仿宋" w:hAnsi="仿宋" w:eastAsia="仿宋"/>
                <w:kern w:val="0"/>
                <w:sz w:val="24"/>
                <w:szCs w:val="24"/>
              </w:rPr>
              <w:t>的，必须提供法定代表人签名或盖章的授权委托书原件及被委托授权人身份证</w:t>
            </w:r>
            <w:r>
              <w:rPr>
                <w:rFonts w:hint="eastAsia" w:ascii="仿宋" w:hAnsi="仿宋" w:eastAsia="仿宋"/>
                <w:kern w:val="0"/>
                <w:sz w:val="24"/>
                <w:szCs w:val="24"/>
              </w:rPr>
              <w:t>复印件和</w:t>
            </w:r>
            <w:r>
              <w:rPr>
                <w:rFonts w:hint="eastAsia" w:ascii="仿宋" w:hAnsi="仿宋" w:eastAsia="仿宋"/>
                <w:sz w:val="24"/>
                <w:szCs w:val="24"/>
              </w:rPr>
              <w:t>法定代表人的身份证复印件</w:t>
            </w:r>
            <w:r>
              <w:rPr>
                <w:rFonts w:ascii="仿宋" w:hAnsi="仿宋" w:eastAsia="仿宋"/>
                <w:kern w:val="0"/>
                <w:sz w:val="24"/>
                <w:szCs w:val="24"/>
              </w:rPr>
              <w:t>；</w:t>
            </w:r>
          </w:p>
        </w:tc>
      </w:tr>
      <w:tr w14:paraId="5AFCEFCA">
        <w:tblPrEx>
          <w:tblCellMar>
            <w:top w:w="0" w:type="dxa"/>
            <w:left w:w="108" w:type="dxa"/>
            <w:bottom w:w="0" w:type="dxa"/>
            <w:right w:w="108" w:type="dxa"/>
          </w:tblCellMar>
        </w:tblPrEx>
        <w:trPr>
          <w:trHeight w:val="90" w:hRule="atLeast"/>
          <w:jc w:val="center"/>
        </w:trPr>
        <w:tc>
          <w:tcPr>
            <w:tcW w:w="836" w:type="dxa"/>
            <w:vMerge w:val="continue"/>
            <w:tcBorders>
              <w:left w:val="single" w:color="000000" w:sz="4" w:space="0"/>
              <w:bottom w:val="single" w:color="000000" w:sz="4" w:space="0"/>
              <w:right w:val="single" w:color="000000" w:sz="4" w:space="0"/>
            </w:tcBorders>
            <w:vAlign w:val="center"/>
          </w:tcPr>
          <w:p w14:paraId="69E9030A">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5D97624A">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1DABE18E">
            <w:pPr>
              <w:pStyle w:val="14"/>
              <w:spacing w:line="360" w:lineRule="auto"/>
              <w:jc w:val="left"/>
              <w:rPr>
                <w:rFonts w:ascii="仿宋" w:hAnsi="仿宋" w:eastAsia="仿宋"/>
                <w:sz w:val="24"/>
                <w:szCs w:val="24"/>
              </w:rPr>
            </w:pPr>
            <w:r>
              <w:rPr>
                <w:rFonts w:ascii="仿宋" w:hAnsi="仿宋" w:eastAsia="仿宋"/>
                <w:sz w:val="24"/>
                <w:szCs w:val="24"/>
              </w:rPr>
              <w:t>营业执照</w:t>
            </w:r>
          </w:p>
        </w:tc>
        <w:tc>
          <w:tcPr>
            <w:tcW w:w="6356" w:type="dxa"/>
            <w:tcBorders>
              <w:top w:val="single" w:color="000000" w:sz="4" w:space="0"/>
              <w:bottom w:val="single" w:color="000000" w:sz="4" w:space="0"/>
              <w:right w:val="single" w:color="000000" w:sz="4" w:space="0"/>
            </w:tcBorders>
            <w:vAlign w:val="center"/>
          </w:tcPr>
          <w:p w14:paraId="0E573BE1">
            <w:pPr>
              <w:pStyle w:val="14"/>
              <w:spacing w:line="360" w:lineRule="auto"/>
              <w:jc w:val="left"/>
              <w:rPr>
                <w:rFonts w:ascii="仿宋" w:hAnsi="仿宋" w:eastAsia="仿宋"/>
                <w:sz w:val="24"/>
                <w:szCs w:val="24"/>
              </w:rPr>
            </w:pPr>
            <w:r>
              <w:rPr>
                <w:rFonts w:ascii="仿宋" w:hAnsi="仿宋" w:eastAsia="仿宋" w:cs="仿宋"/>
                <w:bCs/>
                <w:sz w:val="24"/>
                <w:szCs w:val="24"/>
              </w:rPr>
              <w:t>法人或者其他组织的营业执照等证明文件，自然人的身份证明</w:t>
            </w:r>
          </w:p>
        </w:tc>
      </w:tr>
      <w:tr w14:paraId="7EF1AC0B">
        <w:tblPrEx>
          <w:tblCellMar>
            <w:top w:w="0" w:type="dxa"/>
            <w:left w:w="108" w:type="dxa"/>
            <w:bottom w:w="0" w:type="dxa"/>
            <w:right w:w="108" w:type="dxa"/>
          </w:tblCellMar>
        </w:tblPrEx>
        <w:trPr>
          <w:trHeight w:val="602" w:hRule="atLeast"/>
          <w:jc w:val="center"/>
        </w:trPr>
        <w:tc>
          <w:tcPr>
            <w:tcW w:w="836" w:type="dxa"/>
            <w:vMerge w:val="continue"/>
            <w:tcBorders>
              <w:left w:val="single" w:color="000000" w:sz="4" w:space="0"/>
              <w:bottom w:val="single" w:color="000000" w:sz="4" w:space="0"/>
              <w:right w:val="single" w:color="000000" w:sz="4" w:space="0"/>
            </w:tcBorders>
            <w:vAlign w:val="center"/>
          </w:tcPr>
          <w:p w14:paraId="4BB29D75">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2BC541CF">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4BC0EDEF">
            <w:pPr>
              <w:pStyle w:val="14"/>
              <w:spacing w:line="360" w:lineRule="auto"/>
              <w:jc w:val="left"/>
              <w:rPr>
                <w:rFonts w:ascii="仿宋" w:hAnsi="仿宋" w:eastAsia="仿宋"/>
                <w:sz w:val="24"/>
                <w:szCs w:val="24"/>
              </w:rPr>
            </w:pPr>
            <w:r>
              <w:rPr>
                <w:rFonts w:ascii="仿宋" w:hAnsi="仿宋" w:eastAsia="仿宋"/>
                <w:sz w:val="24"/>
                <w:szCs w:val="24"/>
              </w:rPr>
              <w:t>供应商响应文件函</w:t>
            </w:r>
          </w:p>
        </w:tc>
        <w:tc>
          <w:tcPr>
            <w:tcW w:w="6356" w:type="dxa"/>
            <w:tcBorders>
              <w:top w:val="single" w:color="000000" w:sz="4" w:space="0"/>
              <w:bottom w:val="single" w:color="000000" w:sz="4" w:space="0"/>
              <w:right w:val="single" w:color="000000" w:sz="4" w:space="0"/>
            </w:tcBorders>
            <w:vAlign w:val="center"/>
          </w:tcPr>
          <w:p w14:paraId="25CF5C5A">
            <w:pPr>
              <w:pStyle w:val="14"/>
              <w:spacing w:line="360" w:lineRule="auto"/>
              <w:jc w:val="left"/>
              <w:rPr>
                <w:rFonts w:ascii="仿宋" w:hAnsi="仿宋" w:eastAsia="仿宋"/>
                <w:sz w:val="24"/>
                <w:szCs w:val="24"/>
              </w:rPr>
            </w:pPr>
            <w:r>
              <w:rPr>
                <w:rFonts w:ascii="仿宋" w:hAnsi="仿宋" w:eastAsia="仿宋"/>
                <w:sz w:val="24"/>
                <w:szCs w:val="24"/>
              </w:rPr>
              <w:t>供应商响应文件函（按磋商文件第七章后附格式）</w:t>
            </w:r>
          </w:p>
        </w:tc>
      </w:tr>
      <w:tr w14:paraId="36827182">
        <w:tblPrEx>
          <w:tblCellMar>
            <w:top w:w="0" w:type="dxa"/>
            <w:left w:w="108" w:type="dxa"/>
            <w:bottom w:w="0" w:type="dxa"/>
            <w:right w:w="108" w:type="dxa"/>
          </w:tblCellMar>
        </w:tblPrEx>
        <w:trPr>
          <w:trHeight w:val="602" w:hRule="atLeast"/>
          <w:jc w:val="center"/>
        </w:trPr>
        <w:tc>
          <w:tcPr>
            <w:tcW w:w="836" w:type="dxa"/>
            <w:vMerge w:val="continue"/>
            <w:tcBorders>
              <w:left w:val="single" w:color="000000" w:sz="4" w:space="0"/>
              <w:bottom w:val="single" w:color="000000" w:sz="4" w:space="0"/>
              <w:right w:val="single" w:color="000000" w:sz="4" w:space="0"/>
            </w:tcBorders>
            <w:vAlign w:val="center"/>
          </w:tcPr>
          <w:p w14:paraId="4C0878E1">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49D7C014">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0750FBB1">
            <w:pPr>
              <w:pStyle w:val="14"/>
              <w:spacing w:line="360" w:lineRule="auto"/>
              <w:jc w:val="left"/>
              <w:rPr>
                <w:rFonts w:ascii="仿宋" w:hAnsi="仿宋" w:eastAsia="仿宋"/>
                <w:sz w:val="24"/>
                <w:szCs w:val="24"/>
              </w:rPr>
            </w:pPr>
            <w:r>
              <w:rPr>
                <w:rFonts w:hint="eastAsia" w:ascii="仿宋" w:hAnsi="仿宋" w:eastAsia="仿宋"/>
                <w:sz w:val="24"/>
                <w:szCs w:val="24"/>
              </w:rPr>
              <w:t>供应商符合规定条件的声明函</w:t>
            </w:r>
          </w:p>
        </w:tc>
        <w:tc>
          <w:tcPr>
            <w:tcW w:w="6356" w:type="dxa"/>
            <w:tcBorders>
              <w:top w:val="single" w:color="000000" w:sz="4" w:space="0"/>
              <w:bottom w:val="single" w:color="000000" w:sz="4" w:space="0"/>
              <w:right w:val="single" w:color="000000" w:sz="4" w:space="0"/>
            </w:tcBorders>
            <w:vAlign w:val="center"/>
          </w:tcPr>
          <w:p w14:paraId="40D3DF7E">
            <w:pPr>
              <w:pStyle w:val="14"/>
              <w:snapToGrid w:val="0"/>
              <w:spacing w:line="320" w:lineRule="exact"/>
              <w:rPr>
                <w:rFonts w:ascii="仿宋" w:hAnsi="仿宋" w:eastAsia="仿宋"/>
                <w:sz w:val="24"/>
                <w:szCs w:val="24"/>
              </w:rPr>
            </w:pPr>
            <w:r>
              <w:rPr>
                <w:rFonts w:hint="eastAsia" w:ascii="仿宋" w:hAnsi="仿宋" w:eastAsia="仿宋"/>
                <w:sz w:val="24"/>
                <w:szCs w:val="24"/>
              </w:rPr>
              <w:t>有效的符合规定条件的声明函。</w:t>
            </w:r>
          </w:p>
        </w:tc>
      </w:tr>
      <w:tr w14:paraId="64ADFC3E">
        <w:tblPrEx>
          <w:tblCellMar>
            <w:top w:w="0" w:type="dxa"/>
            <w:left w:w="108" w:type="dxa"/>
            <w:bottom w:w="0" w:type="dxa"/>
            <w:right w:w="108" w:type="dxa"/>
          </w:tblCellMar>
        </w:tblPrEx>
        <w:trPr>
          <w:trHeight w:val="602" w:hRule="atLeast"/>
          <w:jc w:val="center"/>
        </w:trPr>
        <w:tc>
          <w:tcPr>
            <w:tcW w:w="836" w:type="dxa"/>
            <w:vMerge w:val="continue"/>
            <w:tcBorders>
              <w:left w:val="single" w:color="000000" w:sz="4" w:space="0"/>
              <w:bottom w:val="single" w:color="000000" w:sz="4" w:space="0"/>
              <w:right w:val="single" w:color="000000" w:sz="4" w:space="0"/>
            </w:tcBorders>
            <w:vAlign w:val="center"/>
          </w:tcPr>
          <w:p w14:paraId="36552D64">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1150E87E">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0794B856">
            <w:pPr>
              <w:pStyle w:val="14"/>
              <w:spacing w:line="360" w:lineRule="auto"/>
              <w:jc w:val="left"/>
              <w:rPr>
                <w:rFonts w:ascii="仿宋" w:hAnsi="仿宋" w:eastAsia="仿宋"/>
                <w:sz w:val="24"/>
                <w:szCs w:val="24"/>
              </w:rPr>
            </w:pPr>
            <w:r>
              <w:rPr>
                <w:rFonts w:hint="eastAsia" w:ascii="仿宋" w:hAnsi="仿宋" w:eastAsia="仿宋"/>
                <w:sz w:val="24"/>
                <w:szCs w:val="24"/>
              </w:rPr>
              <w:t>执业许可证</w:t>
            </w:r>
          </w:p>
        </w:tc>
        <w:tc>
          <w:tcPr>
            <w:tcW w:w="6356" w:type="dxa"/>
            <w:tcBorders>
              <w:top w:val="single" w:color="000000" w:sz="4" w:space="0"/>
              <w:bottom w:val="single" w:color="000000" w:sz="4" w:space="0"/>
              <w:right w:val="single" w:color="000000" w:sz="4" w:space="0"/>
            </w:tcBorders>
            <w:vAlign w:val="center"/>
          </w:tcPr>
          <w:p w14:paraId="748D31CD">
            <w:pPr>
              <w:pStyle w:val="21"/>
              <w:spacing w:line="360" w:lineRule="auto"/>
              <w:rPr>
                <w:rFonts w:ascii="仿宋" w:hAnsi="仿宋" w:eastAsia="仿宋"/>
                <w:kern w:val="0"/>
                <w:sz w:val="24"/>
                <w:szCs w:val="24"/>
              </w:rPr>
            </w:pPr>
            <w:r>
              <w:rPr>
                <w:rFonts w:hint="eastAsia" w:ascii="仿宋" w:hAnsi="仿宋" w:eastAsia="仿宋" w:cs="宋体"/>
                <w:sz w:val="24"/>
                <w:szCs w:val="24"/>
              </w:rPr>
              <w:t>响应供应商为三级（或参照三级管理）及以上</w:t>
            </w:r>
            <w:r>
              <w:rPr>
                <w:rFonts w:hint="eastAsia" w:ascii="仿宋" w:hAnsi="仿宋" w:eastAsia="仿宋" w:cs="仿宋"/>
                <w:sz w:val="24"/>
                <w:szCs w:val="24"/>
              </w:rPr>
              <w:t>的</w:t>
            </w:r>
            <w:r>
              <w:rPr>
                <w:rFonts w:hint="eastAsia" w:ascii="仿宋" w:hAnsi="仿宋" w:eastAsia="仿宋" w:cs="宋体"/>
                <w:sz w:val="24"/>
                <w:szCs w:val="24"/>
              </w:rPr>
              <w:t>医疗机构（提供医疗机构执业许可证（副本）及相关证明文件）</w:t>
            </w:r>
          </w:p>
        </w:tc>
      </w:tr>
      <w:tr w14:paraId="4CCF6B8F">
        <w:tblPrEx>
          <w:tblCellMar>
            <w:top w:w="0" w:type="dxa"/>
            <w:left w:w="108" w:type="dxa"/>
            <w:bottom w:w="0" w:type="dxa"/>
            <w:right w:w="108" w:type="dxa"/>
          </w:tblCellMar>
        </w:tblPrEx>
        <w:trPr>
          <w:trHeight w:val="392" w:hRule="atLeast"/>
          <w:jc w:val="center"/>
        </w:trPr>
        <w:tc>
          <w:tcPr>
            <w:tcW w:w="836" w:type="dxa"/>
            <w:vMerge w:val="continue"/>
            <w:tcBorders>
              <w:left w:val="single" w:color="000000" w:sz="4" w:space="0"/>
              <w:bottom w:val="single" w:color="000000" w:sz="4" w:space="0"/>
              <w:right w:val="single" w:color="000000" w:sz="4" w:space="0"/>
            </w:tcBorders>
            <w:vAlign w:val="center"/>
          </w:tcPr>
          <w:p w14:paraId="34F80298">
            <w:pPr>
              <w:pStyle w:val="14"/>
              <w:jc w:val="left"/>
              <w:rPr>
                <w:rFonts w:ascii="仿宋" w:hAnsi="仿宋" w:eastAsia="仿宋"/>
                <w:sz w:val="24"/>
                <w:szCs w:val="24"/>
              </w:rPr>
            </w:pPr>
          </w:p>
        </w:tc>
        <w:tc>
          <w:tcPr>
            <w:tcW w:w="990" w:type="dxa"/>
            <w:vMerge w:val="continue"/>
            <w:tcBorders>
              <w:bottom w:val="single" w:color="000000" w:sz="4" w:space="0"/>
              <w:right w:val="single" w:color="000000" w:sz="4" w:space="0"/>
            </w:tcBorders>
            <w:vAlign w:val="center"/>
          </w:tcPr>
          <w:p w14:paraId="3A1124C3">
            <w:pPr>
              <w:pStyle w:val="14"/>
              <w:jc w:val="left"/>
              <w:rPr>
                <w:rFonts w:ascii="仿宋" w:hAnsi="仿宋" w:eastAsia="仿宋"/>
                <w:sz w:val="24"/>
                <w:szCs w:val="24"/>
              </w:rPr>
            </w:pPr>
          </w:p>
        </w:tc>
        <w:tc>
          <w:tcPr>
            <w:tcW w:w="2353" w:type="dxa"/>
            <w:tcBorders>
              <w:top w:val="single" w:color="000000" w:sz="4" w:space="0"/>
              <w:bottom w:val="single" w:color="000000" w:sz="4" w:space="0"/>
              <w:right w:val="single" w:color="000000" w:sz="4" w:space="0"/>
            </w:tcBorders>
            <w:vAlign w:val="center"/>
          </w:tcPr>
          <w:p w14:paraId="2B6EF314">
            <w:pPr>
              <w:pStyle w:val="14"/>
              <w:spacing w:line="360" w:lineRule="auto"/>
              <w:jc w:val="left"/>
              <w:rPr>
                <w:rFonts w:ascii="仿宋" w:hAnsi="仿宋" w:eastAsia="仿宋"/>
                <w:sz w:val="24"/>
                <w:szCs w:val="24"/>
              </w:rPr>
            </w:pPr>
            <w:r>
              <w:rPr>
                <w:rFonts w:ascii="仿宋" w:hAnsi="仿宋" w:eastAsia="仿宋"/>
                <w:sz w:val="24"/>
                <w:szCs w:val="24"/>
              </w:rPr>
              <w:t>磋商供应商未列入失信被执行人或重大税收违法案件当事人名单或采购严重失信行为记录名单的证明材料</w:t>
            </w:r>
            <w:r>
              <w:rPr>
                <w:rFonts w:hint="eastAsia" w:ascii="仿宋" w:hAnsi="仿宋" w:eastAsia="仿宋"/>
                <w:sz w:val="24"/>
                <w:szCs w:val="24"/>
              </w:rPr>
              <w:t>（供应商无需提供证明材料）</w:t>
            </w:r>
          </w:p>
        </w:tc>
        <w:tc>
          <w:tcPr>
            <w:tcW w:w="6356" w:type="dxa"/>
            <w:tcBorders>
              <w:top w:val="single" w:color="000000" w:sz="4" w:space="0"/>
              <w:bottom w:val="single" w:color="000000" w:sz="4" w:space="0"/>
              <w:right w:val="single" w:color="000000" w:sz="4" w:space="0"/>
            </w:tcBorders>
            <w:vAlign w:val="center"/>
          </w:tcPr>
          <w:p w14:paraId="7E899D02">
            <w:pPr>
              <w:spacing w:line="360" w:lineRule="auto"/>
              <w:ind w:firstLine="480" w:firstLineChars="200"/>
              <w:rPr>
                <w:rFonts w:ascii="仿宋" w:hAnsi="仿宋" w:eastAsia="仿宋"/>
                <w:sz w:val="24"/>
                <w:szCs w:val="24"/>
              </w:rPr>
            </w:pPr>
            <w:r>
              <w:rPr>
                <w:rFonts w:hint="eastAsia" w:ascii="仿宋" w:hAnsi="仿宋" w:eastAsia="仿宋"/>
                <w:sz w:val="24"/>
                <w:szCs w:val="24"/>
              </w:rPr>
              <w:t>响应供应商未被“信用中国”网站（www.creditchina.gov.cn）列入失信被执行人、政府采购严重违法失信行为记录名单；采购代理机构将在首次递交磋商响应文件截止时间开始后一个小时内，通过“信用中国”网站对供应商信用信息进行查询查证，并将查询记录截屏打印保存在采购档案内。如核实未通过，经磋商小组确认后资格审查不予通过。</w:t>
            </w:r>
          </w:p>
        </w:tc>
      </w:tr>
      <w:tr w14:paraId="2E117C3B">
        <w:tblPrEx>
          <w:tblCellMar>
            <w:top w:w="0" w:type="dxa"/>
            <w:left w:w="108" w:type="dxa"/>
            <w:bottom w:w="0" w:type="dxa"/>
            <w:right w:w="108" w:type="dxa"/>
          </w:tblCellMar>
        </w:tblPrEx>
        <w:trPr>
          <w:trHeight w:val="1121" w:hRule="atLeast"/>
          <w:jc w:val="center"/>
        </w:trPr>
        <w:tc>
          <w:tcPr>
            <w:tcW w:w="10535" w:type="dxa"/>
            <w:gridSpan w:val="4"/>
            <w:tcBorders>
              <w:top w:val="single" w:color="000000" w:sz="4" w:space="0"/>
              <w:left w:val="single" w:color="000000" w:sz="4" w:space="0"/>
              <w:bottom w:val="single" w:color="000000" w:sz="4" w:space="0"/>
              <w:right w:val="single" w:color="000000" w:sz="4" w:space="0"/>
            </w:tcBorders>
            <w:vAlign w:val="center"/>
          </w:tcPr>
          <w:p w14:paraId="4D4BDD9A">
            <w:pPr>
              <w:pStyle w:val="14"/>
              <w:rPr>
                <w:rFonts w:ascii="仿宋" w:hAnsi="仿宋" w:eastAsia="仿宋"/>
                <w:sz w:val="24"/>
                <w:szCs w:val="24"/>
              </w:rPr>
            </w:pPr>
            <w:bookmarkStart w:id="1" w:name="_Hlk14941930"/>
            <w:r>
              <w:rPr>
                <w:rFonts w:ascii="仿宋" w:hAnsi="仿宋" w:eastAsia="仿宋"/>
                <w:sz w:val="24"/>
                <w:szCs w:val="24"/>
              </w:rPr>
              <w:t>上述条款号2.1.2资格评审标准的纸质递交资料需提供复印件并加盖单位公章。</w:t>
            </w:r>
            <w:bookmarkEnd w:id="1"/>
          </w:p>
          <w:p w14:paraId="2214764C">
            <w:pPr>
              <w:pStyle w:val="14"/>
              <w:rPr>
                <w:rFonts w:ascii="仿宋" w:hAnsi="仿宋" w:eastAsia="仿宋"/>
                <w:sz w:val="24"/>
                <w:szCs w:val="24"/>
              </w:rPr>
            </w:pPr>
            <w:r>
              <w:rPr>
                <w:rFonts w:ascii="仿宋" w:hAnsi="仿宋" w:eastAsia="仿宋"/>
                <w:sz w:val="24"/>
                <w:szCs w:val="24"/>
              </w:rPr>
              <w:t>注：通过形式评审和资格审查的</w:t>
            </w:r>
            <w:r>
              <w:rPr>
                <w:rFonts w:hint="eastAsia" w:ascii="仿宋" w:hAnsi="仿宋" w:eastAsia="仿宋"/>
                <w:sz w:val="24"/>
                <w:szCs w:val="24"/>
              </w:rPr>
              <w:t>响应供应商</w:t>
            </w:r>
            <w:r>
              <w:rPr>
                <w:rFonts w:ascii="仿宋" w:hAnsi="仿宋" w:eastAsia="仿宋"/>
                <w:sz w:val="24"/>
                <w:szCs w:val="24"/>
              </w:rPr>
              <w:t>可进入以下评审(资格审查不合格的</w:t>
            </w:r>
            <w:r>
              <w:rPr>
                <w:rFonts w:hint="eastAsia" w:ascii="仿宋" w:hAnsi="仿宋" w:eastAsia="仿宋"/>
                <w:sz w:val="24"/>
                <w:szCs w:val="24"/>
              </w:rPr>
              <w:t>响应供应商</w:t>
            </w:r>
            <w:r>
              <w:rPr>
                <w:rFonts w:ascii="仿宋" w:hAnsi="仿宋" w:eastAsia="仿宋"/>
                <w:sz w:val="24"/>
                <w:szCs w:val="24"/>
              </w:rPr>
              <w:t>不得进入本项目技术标和报价标的综合评审阶段)。</w:t>
            </w:r>
          </w:p>
        </w:tc>
      </w:tr>
    </w:tbl>
    <w:p w14:paraId="40269192">
      <w:pPr>
        <w:pStyle w:val="14"/>
        <w:jc w:val="center"/>
        <w:rPr>
          <w:rFonts w:ascii="仿宋" w:hAnsi="仿宋" w:eastAsia="仿宋"/>
          <w:b/>
          <w:bCs/>
          <w:sz w:val="32"/>
          <w:szCs w:val="32"/>
        </w:rPr>
      </w:pPr>
      <w:r>
        <w:rPr>
          <w:rFonts w:ascii="仿宋" w:hAnsi="仿宋" w:eastAsia="仿宋"/>
          <w:b/>
          <w:bCs/>
          <w:sz w:val="32"/>
          <w:szCs w:val="32"/>
        </w:rPr>
        <w:t>第六章</w:t>
      </w:r>
      <w:r>
        <w:rPr>
          <w:rFonts w:hint="eastAsia" w:ascii="仿宋" w:hAnsi="仿宋" w:eastAsia="仿宋"/>
          <w:b/>
          <w:bCs/>
          <w:sz w:val="32"/>
          <w:szCs w:val="32"/>
        </w:rPr>
        <w:t xml:space="preserve"> </w:t>
      </w:r>
      <w:r>
        <w:rPr>
          <w:rFonts w:ascii="仿宋" w:hAnsi="仿宋" w:eastAsia="仿宋"/>
          <w:b/>
          <w:bCs/>
          <w:sz w:val="32"/>
          <w:szCs w:val="32"/>
        </w:rPr>
        <w:t>磋商办法（综合评分法）</w:t>
      </w:r>
    </w:p>
    <w:p w14:paraId="6D0B588E">
      <w:pPr>
        <w:pStyle w:val="14"/>
        <w:widowControl/>
        <w:spacing w:line="360" w:lineRule="auto"/>
        <w:ind w:left="462"/>
        <w:jc w:val="left"/>
        <w:rPr>
          <w:rFonts w:ascii="仿宋" w:hAnsi="仿宋" w:eastAsia="仿宋"/>
          <w:b/>
          <w:bCs/>
          <w:sz w:val="23"/>
          <w:szCs w:val="23"/>
        </w:rPr>
      </w:pPr>
      <w:r>
        <w:rPr>
          <w:rFonts w:hint="eastAsia" w:ascii="仿宋" w:hAnsi="仿宋" w:eastAsia="仿宋"/>
          <w:b/>
          <w:bCs/>
          <w:sz w:val="23"/>
          <w:szCs w:val="23"/>
        </w:rPr>
        <w:t>一、</w:t>
      </w:r>
      <w:r>
        <w:rPr>
          <w:rFonts w:ascii="仿宋" w:hAnsi="仿宋" w:eastAsia="仿宋"/>
          <w:b/>
          <w:bCs/>
          <w:sz w:val="23"/>
          <w:szCs w:val="23"/>
        </w:rPr>
        <w:t>本项目磋商小组成员共3人</w:t>
      </w:r>
      <w:r>
        <w:rPr>
          <w:rFonts w:hint="eastAsia" w:ascii="仿宋" w:hAnsi="仿宋" w:eastAsia="仿宋"/>
          <w:b/>
          <w:bCs/>
          <w:sz w:val="23"/>
          <w:szCs w:val="23"/>
        </w:rPr>
        <w:t>。</w:t>
      </w:r>
    </w:p>
    <w:p w14:paraId="7C29E4DC">
      <w:pPr>
        <w:pStyle w:val="14"/>
        <w:widowControl/>
        <w:spacing w:line="360" w:lineRule="auto"/>
        <w:ind w:firstLine="462" w:firstLineChars="200"/>
        <w:jc w:val="left"/>
        <w:rPr>
          <w:rFonts w:ascii="仿宋" w:hAnsi="仿宋" w:eastAsia="仿宋"/>
          <w:b/>
          <w:bCs/>
          <w:sz w:val="23"/>
          <w:szCs w:val="23"/>
        </w:rPr>
      </w:pPr>
      <w:r>
        <w:rPr>
          <w:rFonts w:hint="eastAsia" w:ascii="仿宋" w:hAnsi="仿宋" w:eastAsia="仿宋"/>
          <w:b/>
          <w:bCs/>
          <w:sz w:val="23"/>
          <w:szCs w:val="23"/>
        </w:rPr>
        <w:t>二、</w:t>
      </w:r>
      <w:r>
        <w:rPr>
          <w:rFonts w:ascii="仿宋" w:hAnsi="仿宋" w:eastAsia="仿宋"/>
          <w:b/>
          <w:bCs/>
          <w:sz w:val="23"/>
          <w:szCs w:val="23"/>
        </w:rPr>
        <w:t>磋商委员会认为</w:t>
      </w:r>
      <w:r>
        <w:rPr>
          <w:rFonts w:hint="eastAsia" w:ascii="仿宋" w:hAnsi="仿宋" w:eastAsia="仿宋"/>
          <w:b/>
          <w:bCs/>
          <w:sz w:val="23"/>
          <w:szCs w:val="23"/>
        </w:rPr>
        <w:t>响应供应商</w:t>
      </w:r>
      <w:r>
        <w:rPr>
          <w:rFonts w:ascii="仿宋" w:hAnsi="仿宋" w:eastAsia="仿宋"/>
          <w:b/>
          <w:bCs/>
          <w:sz w:val="23"/>
          <w:szCs w:val="23"/>
        </w:rPr>
        <w:t>的报价明显低于其他</w:t>
      </w:r>
      <w:r>
        <w:rPr>
          <w:rFonts w:hint="eastAsia" w:ascii="仿宋" w:hAnsi="仿宋" w:eastAsia="仿宋"/>
          <w:b/>
          <w:bCs/>
          <w:sz w:val="23"/>
          <w:szCs w:val="23"/>
        </w:rPr>
        <w:t>响应供应商</w:t>
      </w:r>
      <w:r>
        <w:rPr>
          <w:rFonts w:ascii="仿宋" w:hAnsi="仿宋" w:eastAsia="仿宋"/>
          <w:b/>
          <w:bCs/>
          <w:sz w:val="23"/>
          <w:szCs w:val="23"/>
        </w:rPr>
        <w:t>的报价，有可能影响服务质量或者不能诚信履约的，应当要求其在评标现场在规定时限之内提供书面说明，必要时提交相关证明材料；</w:t>
      </w:r>
      <w:r>
        <w:rPr>
          <w:rFonts w:hint="eastAsia" w:ascii="仿宋" w:hAnsi="仿宋" w:eastAsia="仿宋"/>
          <w:b/>
          <w:bCs/>
          <w:sz w:val="23"/>
          <w:szCs w:val="23"/>
        </w:rPr>
        <w:t>响应供应商</w:t>
      </w:r>
      <w:r>
        <w:rPr>
          <w:rFonts w:ascii="仿宋" w:hAnsi="仿宋" w:eastAsia="仿宋"/>
          <w:b/>
          <w:bCs/>
          <w:sz w:val="23"/>
          <w:szCs w:val="23"/>
        </w:rPr>
        <w:t>不能证明其投标合理性的，磋商委员会应当将其作为无效投标处理。</w:t>
      </w:r>
    </w:p>
    <w:p w14:paraId="52C6A4EC">
      <w:pPr>
        <w:pStyle w:val="15"/>
        <w:spacing w:line="360" w:lineRule="auto"/>
        <w:ind w:firstLine="462" w:firstLineChars="200"/>
        <w:rPr>
          <w:rFonts w:ascii="仿宋" w:hAnsi="仿宋" w:eastAsia="仿宋"/>
          <w:b/>
          <w:bCs/>
          <w:sz w:val="23"/>
          <w:szCs w:val="23"/>
        </w:rPr>
      </w:pPr>
      <w:r>
        <w:rPr>
          <w:rFonts w:hint="eastAsia" w:ascii="仿宋" w:hAnsi="仿宋" w:eastAsia="仿宋"/>
          <w:b/>
          <w:bCs/>
          <w:sz w:val="23"/>
          <w:szCs w:val="23"/>
        </w:rPr>
        <w:t>三</w:t>
      </w:r>
      <w:r>
        <w:rPr>
          <w:rFonts w:ascii="仿宋" w:hAnsi="仿宋" w:eastAsia="仿宋"/>
          <w:b/>
          <w:bCs/>
          <w:sz w:val="23"/>
          <w:szCs w:val="23"/>
        </w:rPr>
        <w:t>、评标办法：本次评标采用综合评分法，具体评分办法如下：</w:t>
      </w:r>
    </w:p>
    <w:p w14:paraId="53164949">
      <w:pPr>
        <w:pStyle w:val="17"/>
        <w:rPr>
          <w:rFonts w:ascii="仿宋" w:hAnsi="仿宋" w:eastAsia="仿宋"/>
          <w:sz w:val="28"/>
          <w:szCs w:val="28"/>
        </w:rPr>
      </w:pPr>
      <w:r>
        <w:rPr>
          <w:rFonts w:ascii="仿宋" w:hAnsi="仿宋" w:eastAsia="仿宋"/>
          <w:sz w:val="28"/>
          <w:szCs w:val="28"/>
        </w:rPr>
        <w:t>磋商办法前附表</w:t>
      </w:r>
    </w:p>
    <w:tbl>
      <w:tblPr>
        <w:tblStyle w:val="12"/>
        <w:tblW w:w="9530" w:type="dxa"/>
        <w:jc w:val="center"/>
        <w:tblLayout w:type="fixed"/>
        <w:tblCellMar>
          <w:top w:w="0" w:type="dxa"/>
          <w:left w:w="108" w:type="dxa"/>
          <w:bottom w:w="0" w:type="dxa"/>
          <w:right w:w="108" w:type="dxa"/>
        </w:tblCellMar>
      </w:tblPr>
      <w:tblGrid>
        <w:gridCol w:w="1463"/>
        <w:gridCol w:w="879"/>
        <w:gridCol w:w="461"/>
        <w:gridCol w:w="1783"/>
        <w:gridCol w:w="4944"/>
      </w:tblGrid>
      <w:tr w14:paraId="75EA20E8">
        <w:tblPrEx>
          <w:tblCellMar>
            <w:top w:w="0" w:type="dxa"/>
            <w:left w:w="108" w:type="dxa"/>
            <w:bottom w:w="0" w:type="dxa"/>
            <w:right w:w="108" w:type="dxa"/>
          </w:tblCellMar>
        </w:tblPrEx>
        <w:trPr>
          <w:trHeight w:val="604" w:hRule="atLeast"/>
          <w:jc w:val="center"/>
        </w:trPr>
        <w:tc>
          <w:tcPr>
            <w:tcW w:w="1463" w:type="dxa"/>
            <w:vMerge w:val="restart"/>
            <w:tcBorders>
              <w:top w:val="single" w:color="000000" w:sz="4" w:space="0"/>
              <w:left w:val="single" w:color="000000" w:sz="4" w:space="0"/>
              <w:bottom w:val="single" w:color="000000" w:sz="4" w:space="0"/>
              <w:right w:val="single" w:color="000000" w:sz="4" w:space="0"/>
            </w:tcBorders>
            <w:vAlign w:val="center"/>
          </w:tcPr>
          <w:p w14:paraId="08EFD185">
            <w:pPr>
              <w:pStyle w:val="14"/>
              <w:spacing w:line="360" w:lineRule="atLeast"/>
              <w:rPr>
                <w:rFonts w:ascii="仿宋" w:hAnsi="仿宋" w:eastAsia="仿宋"/>
                <w:sz w:val="24"/>
                <w:szCs w:val="24"/>
              </w:rPr>
            </w:pPr>
            <w:r>
              <w:rPr>
                <w:rFonts w:ascii="仿宋" w:hAnsi="仿宋" w:eastAsia="仿宋"/>
                <w:sz w:val="24"/>
                <w:szCs w:val="24"/>
              </w:rPr>
              <w:t>2.1.3</w:t>
            </w:r>
          </w:p>
          <w:p w14:paraId="585C97FA">
            <w:pPr>
              <w:pStyle w:val="14"/>
              <w:spacing w:line="360" w:lineRule="atLeast"/>
              <w:jc w:val="center"/>
              <w:rPr>
                <w:rFonts w:ascii="仿宋" w:hAnsi="仿宋" w:eastAsia="仿宋"/>
                <w:sz w:val="24"/>
                <w:szCs w:val="24"/>
              </w:rPr>
            </w:pPr>
          </w:p>
        </w:tc>
        <w:tc>
          <w:tcPr>
            <w:tcW w:w="879" w:type="dxa"/>
            <w:vMerge w:val="restart"/>
            <w:tcBorders>
              <w:top w:val="single" w:color="000000" w:sz="4" w:space="0"/>
              <w:bottom w:val="single" w:color="000000" w:sz="4" w:space="0"/>
              <w:right w:val="single" w:color="000000" w:sz="4" w:space="0"/>
            </w:tcBorders>
            <w:vAlign w:val="center"/>
          </w:tcPr>
          <w:p w14:paraId="25E984A9">
            <w:pPr>
              <w:pStyle w:val="14"/>
              <w:spacing w:line="360" w:lineRule="atLeast"/>
              <w:jc w:val="center"/>
              <w:rPr>
                <w:rFonts w:ascii="仿宋" w:hAnsi="仿宋" w:eastAsia="仿宋"/>
                <w:sz w:val="24"/>
                <w:szCs w:val="24"/>
              </w:rPr>
            </w:pPr>
            <w:r>
              <w:rPr>
                <w:rFonts w:ascii="仿宋" w:hAnsi="仿宋" w:eastAsia="仿宋"/>
                <w:sz w:val="24"/>
                <w:szCs w:val="24"/>
              </w:rPr>
              <w:t>响应性评审标准</w:t>
            </w:r>
          </w:p>
          <w:p w14:paraId="265B249C">
            <w:pPr>
              <w:pStyle w:val="14"/>
              <w:spacing w:line="360" w:lineRule="atLeast"/>
              <w:jc w:val="center"/>
              <w:rPr>
                <w:rFonts w:ascii="仿宋" w:hAnsi="仿宋" w:eastAsia="仿宋"/>
                <w:sz w:val="24"/>
                <w:szCs w:val="24"/>
              </w:rPr>
            </w:pPr>
          </w:p>
        </w:tc>
        <w:tc>
          <w:tcPr>
            <w:tcW w:w="2244" w:type="dxa"/>
            <w:gridSpan w:val="2"/>
            <w:tcBorders>
              <w:top w:val="single" w:color="000000" w:sz="4" w:space="0"/>
              <w:bottom w:val="single" w:color="000000" w:sz="4" w:space="0"/>
              <w:right w:val="single" w:color="000000" w:sz="4" w:space="0"/>
            </w:tcBorders>
            <w:vAlign w:val="center"/>
          </w:tcPr>
          <w:p w14:paraId="7FDDD216">
            <w:pPr>
              <w:pStyle w:val="14"/>
              <w:spacing w:line="360" w:lineRule="atLeast"/>
              <w:rPr>
                <w:rFonts w:ascii="仿宋" w:hAnsi="仿宋" w:eastAsia="仿宋"/>
                <w:sz w:val="24"/>
                <w:szCs w:val="24"/>
              </w:rPr>
            </w:pPr>
          </w:p>
        </w:tc>
        <w:tc>
          <w:tcPr>
            <w:tcW w:w="4944" w:type="dxa"/>
            <w:tcBorders>
              <w:top w:val="single" w:color="000000" w:sz="4" w:space="0"/>
              <w:bottom w:val="single" w:color="000000" w:sz="4" w:space="0"/>
              <w:right w:val="single" w:color="000000" w:sz="4" w:space="0"/>
            </w:tcBorders>
            <w:vAlign w:val="center"/>
          </w:tcPr>
          <w:p w14:paraId="7459E87A">
            <w:pPr>
              <w:pStyle w:val="14"/>
              <w:spacing w:line="360" w:lineRule="atLeast"/>
              <w:rPr>
                <w:rFonts w:ascii="仿宋" w:hAnsi="仿宋" w:eastAsia="仿宋"/>
                <w:sz w:val="24"/>
                <w:szCs w:val="24"/>
              </w:rPr>
            </w:pPr>
            <w:r>
              <w:rPr>
                <w:rFonts w:ascii="仿宋" w:hAnsi="仿宋" w:eastAsia="仿宋"/>
                <w:sz w:val="24"/>
                <w:szCs w:val="24"/>
              </w:rPr>
              <w:t>符合第二章“磋商供应商须知”第1.3.1项规定</w:t>
            </w:r>
          </w:p>
        </w:tc>
      </w:tr>
      <w:tr w14:paraId="79EEA523">
        <w:tblPrEx>
          <w:tblCellMar>
            <w:top w:w="0" w:type="dxa"/>
            <w:left w:w="108" w:type="dxa"/>
            <w:bottom w:w="0" w:type="dxa"/>
            <w:right w:w="108" w:type="dxa"/>
          </w:tblCellMar>
        </w:tblPrEx>
        <w:trPr>
          <w:trHeight w:val="590"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14:paraId="341BC5F9">
            <w:pPr>
              <w:pStyle w:val="14"/>
              <w:jc w:val="left"/>
              <w:rPr>
                <w:rFonts w:ascii="仿宋" w:hAnsi="仿宋" w:eastAsia="仿宋"/>
                <w:sz w:val="24"/>
                <w:szCs w:val="24"/>
              </w:rPr>
            </w:pPr>
          </w:p>
        </w:tc>
        <w:tc>
          <w:tcPr>
            <w:tcW w:w="879" w:type="dxa"/>
            <w:vMerge w:val="continue"/>
            <w:tcBorders>
              <w:top w:val="single" w:color="000000" w:sz="4" w:space="0"/>
              <w:bottom w:val="single" w:color="000000" w:sz="4" w:space="0"/>
              <w:right w:val="single" w:color="000000" w:sz="4" w:space="0"/>
            </w:tcBorders>
            <w:vAlign w:val="center"/>
          </w:tcPr>
          <w:p w14:paraId="0A75AAB1">
            <w:pPr>
              <w:pStyle w:val="14"/>
              <w:jc w:val="left"/>
              <w:rPr>
                <w:rFonts w:ascii="仿宋" w:hAnsi="仿宋" w:eastAsia="仿宋"/>
                <w:sz w:val="24"/>
                <w:szCs w:val="24"/>
              </w:rPr>
            </w:pPr>
          </w:p>
        </w:tc>
        <w:tc>
          <w:tcPr>
            <w:tcW w:w="2244" w:type="dxa"/>
            <w:gridSpan w:val="2"/>
            <w:tcBorders>
              <w:top w:val="single" w:color="000000" w:sz="4" w:space="0"/>
              <w:bottom w:val="single" w:color="000000" w:sz="4" w:space="0"/>
              <w:right w:val="single" w:color="000000" w:sz="4" w:space="0"/>
            </w:tcBorders>
            <w:vAlign w:val="center"/>
          </w:tcPr>
          <w:p w14:paraId="06C7130D">
            <w:pPr>
              <w:pStyle w:val="14"/>
              <w:spacing w:line="360" w:lineRule="atLeast"/>
              <w:rPr>
                <w:rFonts w:ascii="仿宋" w:hAnsi="仿宋" w:eastAsia="仿宋"/>
                <w:sz w:val="24"/>
                <w:szCs w:val="24"/>
              </w:rPr>
            </w:pPr>
            <w:r>
              <w:rPr>
                <w:rFonts w:ascii="仿宋" w:hAnsi="仿宋" w:eastAsia="仿宋"/>
                <w:sz w:val="24"/>
                <w:szCs w:val="24"/>
              </w:rPr>
              <w:t>服务期</w:t>
            </w:r>
          </w:p>
        </w:tc>
        <w:tc>
          <w:tcPr>
            <w:tcW w:w="4944" w:type="dxa"/>
            <w:tcBorders>
              <w:top w:val="single" w:color="000000" w:sz="4" w:space="0"/>
              <w:bottom w:val="single" w:color="000000" w:sz="4" w:space="0"/>
              <w:right w:val="single" w:color="000000" w:sz="4" w:space="0"/>
            </w:tcBorders>
            <w:vAlign w:val="center"/>
          </w:tcPr>
          <w:p w14:paraId="5A1595E3">
            <w:pPr>
              <w:pStyle w:val="14"/>
              <w:spacing w:line="360" w:lineRule="atLeast"/>
              <w:rPr>
                <w:rFonts w:ascii="仿宋" w:hAnsi="仿宋" w:eastAsia="仿宋"/>
                <w:sz w:val="24"/>
                <w:szCs w:val="24"/>
              </w:rPr>
            </w:pPr>
            <w:r>
              <w:rPr>
                <w:rFonts w:ascii="仿宋" w:hAnsi="仿宋" w:eastAsia="仿宋"/>
                <w:sz w:val="24"/>
                <w:szCs w:val="24"/>
              </w:rPr>
              <w:t>符合第二章“磋商供应商须知”第1.3.2 项规定</w:t>
            </w:r>
          </w:p>
        </w:tc>
      </w:tr>
      <w:tr w14:paraId="715FC89D">
        <w:tblPrEx>
          <w:tblCellMar>
            <w:top w:w="0" w:type="dxa"/>
            <w:left w:w="108" w:type="dxa"/>
            <w:bottom w:w="0" w:type="dxa"/>
            <w:right w:w="108" w:type="dxa"/>
          </w:tblCellMar>
        </w:tblPrEx>
        <w:trPr>
          <w:trHeight w:val="612"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14:paraId="538CC4CC">
            <w:pPr>
              <w:pStyle w:val="14"/>
              <w:jc w:val="left"/>
              <w:rPr>
                <w:rFonts w:ascii="仿宋" w:hAnsi="仿宋" w:eastAsia="仿宋"/>
                <w:sz w:val="24"/>
                <w:szCs w:val="24"/>
              </w:rPr>
            </w:pPr>
          </w:p>
        </w:tc>
        <w:tc>
          <w:tcPr>
            <w:tcW w:w="879" w:type="dxa"/>
            <w:vMerge w:val="continue"/>
            <w:tcBorders>
              <w:top w:val="single" w:color="000000" w:sz="4" w:space="0"/>
              <w:bottom w:val="single" w:color="000000" w:sz="4" w:space="0"/>
              <w:right w:val="single" w:color="000000" w:sz="4" w:space="0"/>
            </w:tcBorders>
            <w:vAlign w:val="center"/>
          </w:tcPr>
          <w:p w14:paraId="419077B0">
            <w:pPr>
              <w:pStyle w:val="14"/>
              <w:jc w:val="left"/>
              <w:rPr>
                <w:rFonts w:ascii="仿宋" w:hAnsi="仿宋" w:eastAsia="仿宋"/>
                <w:sz w:val="24"/>
                <w:szCs w:val="24"/>
              </w:rPr>
            </w:pPr>
          </w:p>
        </w:tc>
        <w:tc>
          <w:tcPr>
            <w:tcW w:w="2244" w:type="dxa"/>
            <w:gridSpan w:val="2"/>
            <w:tcBorders>
              <w:top w:val="single" w:color="000000" w:sz="4" w:space="0"/>
              <w:bottom w:val="single" w:color="000000" w:sz="4" w:space="0"/>
              <w:right w:val="single" w:color="000000" w:sz="4" w:space="0"/>
            </w:tcBorders>
            <w:vAlign w:val="center"/>
          </w:tcPr>
          <w:p w14:paraId="43DA9BE6">
            <w:pPr>
              <w:pStyle w:val="14"/>
              <w:spacing w:line="360" w:lineRule="atLeast"/>
              <w:rPr>
                <w:rFonts w:ascii="仿宋" w:hAnsi="仿宋" w:eastAsia="仿宋"/>
                <w:sz w:val="24"/>
                <w:szCs w:val="24"/>
              </w:rPr>
            </w:pPr>
            <w:r>
              <w:rPr>
                <w:rFonts w:ascii="仿宋" w:hAnsi="仿宋" w:eastAsia="仿宋"/>
                <w:sz w:val="24"/>
                <w:szCs w:val="24"/>
              </w:rPr>
              <w:t>质量要求</w:t>
            </w:r>
          </w:p>
        </w:tc>
        <w:tc>
          <w:tcPr>
            <w:tcW w:w="4944" w:type="dxa"/>
            <w:tcBorders>
              <w:top w:val="single" w:color="000000" w:sz="4" w:space="0"/>
              <w:bottom w:val="single" w:color="000000" w:sz="4" w:space="0"/>
              <w:right w:val="single" w:color="000000" w:sz="4" w:space="0"/>
            </w:tcBorders>
            <w:vAlign w:val="center"/>
          </w:tcPr>
          <w:p w14:paraId="6CBEC3F7">
            <w:pPr>
              <w:pStyle w:val="14"/>
              <w:spacing w:line="360" w:lineRule="atLeast"/>
              <w:rPr>
                <w:rFonts w:ascii="仿宋" w:hAnsi="仿宋" w:eastAsia="仿宋"/>
                <w:sz w:val="24"/>
                <w:szCs w:val="24"/>
              </w:rPr>
            </w:pPr>
            <w:r>
              <w:rPr>
                <w:rFonts w:ascii="仿宋" w:hAnsi="仿宋" w:eastAsia="仿宋"/>
                <w:sz w:val="24"/>
                <w:szCs w:val="24"/>
              </w:rPr>
              <w:t>符合第二章“磋商供应商须知”第1.3.4 项规定</w:t>
            </w:r>
          </w:p>
        </w:tc>
      </w:tr>
      <w:tr w14:paraId="005A8791">
        <w:tblPrEx>
          <w:tblCellMar>
            <w:top w:w="0" w:type="dxa"/>
            <w:left w:w="108" w:type="dxa"/>
            <w:bottom w:w="0" w:type="dxa"/>
            <w:right w:w="108" w:type="dxa"/>
          </w:tblCellMar>
        </w:tblPrEx>
        <w:trPr>
          <w:trHeight w:val="622"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14:paraId="4D17EF59">
            <w:pPr>
              <w:pStyle w:val="14"/>
              <w:jc w:val="left"/>
              <w:rPr>
                <w:rFonts w:ascii="仿宋" w:hAnsi="仿宋" w:eastAsia="仿宋"/>
                <w:sz w:val="24"/>
                <w:szCs w:val="24"/>
              </w:rPr>
            </w:pPr>
          </w:p>
        </w:tc>
        <w:tc>
          <w:tcPr>
            <w:tcW w:w="879" w:type="dxa"/>
            <w:vMerge w:val="continue"/>
            <w:tcBorders>
              <w:top w:val="single" w:color="000000" w:sz="4" w:space="0"/>
              <w:bottom w:val="single" w:color="000000" w:sz="4" w:space="0"/>
              <w:right w:val="single" w:color="000000" w:sz="4" w:space="0"/>
            </w:tcBorders>
            <w:vAlign w:val="center"/>
          </w:tcPr>
          <w:p w14:paraId="38A44E96">
            <w:pPr>
              <w:pStyle w:val="14"/>
              <w:jc w:val="left"/>
              <w:rPr>
                <w:rFonts w:ascii="仿宋" w:hAnsi="仿宋" w:eastAsia="仿宋"/>
                <w:sz w:val="24"/>
                <w:szCs w:val="24"/>
              </w:rPr>
            </w:pPr>
          </w:p>
        </w:tc>
        <w:tc>
          <w:tcPr>
            <w:tcW w:w="2244" w:type="dxa"/>
            <w:gridSpan w:val="2"/>
            <w:tcBorders>
              <w:top w:val="single" w:color="000000" w:sz="4" w:space="0"/>
              <w:bottom w:val="single" w:color="000000" w:sz="4" w:space="0"/>
              <w:right w:val="single" w:color="000000" w:sz="4" w:space="0"/>
            </w:tcBorders>
            <w:vAlign w:val="center"/>
          </w:tcPr>
          <w:p w14:paraId="188D3090">
            <w:pPr>
              <w:pStyle w:val="14"/>
              <w:spacing w:line="360" w:lineRule="atLeast"/>
              <w:rPr>
                <w:rFonts w:ascii="仿宋" w:hAnsi="仿宋" w:eastAsia="仿宋"/>
                <w:sz w:val="24"/>
                <w:szCs w:val="24"/>
              </w:rPr>
            </w:pPr>
            <w:r>
              <w:rPr>
                <w:rFonts w:ascii="仿宋" w:hAnsi="仿宋" w:eastAsia="仿宋"/>
                <w:sz w:val="24"/>
                <w:szCs w:val="24"/>
              </w:rPr>
              <w:t>……</w:t>
            </w:r>
          </w:p>
        </w:tc>
        <w:tc>
          <w:tcPr>
            <w:tcW w:w="4944" w:type="dxa"/>
            <w:tcBorders>
              <w:top w:val="single" w:color="000000" w:sz="4" w:space="0"/>
              <w:bottom w:val="single" w:color="000000" w:sz="4" w:space="0"/>
              <w:right w:val="single" w:color="000000" w:sz="4" w:space="0"/>
            </w:tcBorders>
            <w:vAlign w:val="center"/>
          </w:tcPr>
          <w:p w14:paraId="342566A1">
            <w:pPr>
              <w:pStyle w:val="14"/>
              <w:spacing w:line="360" w:lineRule="atLeast"/>
              <w:rPr>
                <w:rFonts w:ascii="仿宋" w:hAnsi="仿宋" w:eastAsia="仿宋"/>
                <w:sz w:val="24"/>
                <w:szCs w:val="24"/>
              </w:rPr>
            </w:pPr>
            <w:r>
              <w:rPr>
                <w:rFonts w:ascii="仿宋" w:hAnsi="仿宋" w:eastAsia="仿宋"/>
                <w:sz w:val="24"/>
                <w:szCs w:val="24"/>
              </w:rPr>
              <w:t>……</w:t>
            </w:r>
          </w:p>
        </w:tc>
      </w:tr>
      <w:tr w14:paraId="12B6F522">
        <w:tblPrEx>
          <w:tblCellMar>
            <w:top w:w="0" w:type="dxa"/>
            <w:left w:w="108" w:type="dxa"/>
            <w:bottom w:w="0" w:type="dxa"/>
            <w:right w:w="108" w:type="dxa"/>
          </w:tblCellMar>
        </w:tblPrEx>
        <w:trPr>
          <w:trHeight w:val="622" w:hRule="atLeast"/>
          <w:jc w:val="center"/>
        </w:trPr>
        <w:tc>
          <w:tcPr>
            <w:tcW w:w="1463" w:type="dxa"/>
            <w:tcBorders>
              <w:top w:val="single" w:color="000000" w:sz="4" w:space="0"/>
              <w:left w:val="single" w:color="000000" w:sz="4" w:space="0"/>
              <w:bottom w:val="single" w:color="000000" w:sz="4" w:space="0"/>
              <w:right w:val="single" w:color="000000" w:sz="4" w:space="0"/>
            </w:tcBorders>
            <w:vAlign w:val="center"/>
          </w:tcPr>
          <w:p w14:paraId="36B981C7">
            <w:pPr>
              <w:pStyle w:val="14"/>
              <w:spacing w:line="360" w:lineRule="atLeast"/>
              <w:jc w:val="center"/>
              <w:rPr>
                <w:rFonts w:ascii="仿宋" w:hAnsi="仿宋" w:eastAsia="仿宋"/>
                <w:sz w:val="24"/>
                <w:szCs w:val="24"/>
              </w:rPr>
            </w:pPr>
            <w:r>
              <w:rPr>
                <w:rFonts w:ascii="仿宋" w:hAnsi="仿宋" w:eastAsia="仿宋"/>
                <w:sz w:val="24"/>
                <w:szCs w:val="24"/>
              </w:rPr>
              <w:t>2.2.1</w:t>
            </w:r>
          </w:p>
        </w:tc>
        <w:tc>
          <w:tcPr>
            <w:tcW w:w="3123" w:type="dxa"/>
            <w:gridSpan w:val="3"/>
            <w:tcBorders>
              <w:top w:val="single" w:color="000000" w:sz="4" w:space="0"/>
              <w:bottom w:val="single" w:color="000000" w:sz="4" w:space="0"/>
              <w:right w:val="single" w:color="000000" w:sz="4" w:space="0"/>
            </w:tcBorders>
            <w:vAlign w:val="center"/>
          </w:tcPr>
          <w:p w14:paraId="104794EA">
            <w:pPr>
              <w:pStyle w:val="14"/>
              <w:spacing w:line="360" w:lineRule="atLeast"/>
              <w:jc w:val="center"/>
              <w:rPr>
                <w:rFonts w:ascii="仿宋" w:hAnsi="仿宋" w:eastAsia="仿宋"/>
                <w:sz w:val="24"/>
                <w:szCs w:val="24"/>
              </w:rPr>
            </w:pPr>
            <w:r>
              <w:rPr>
                <w:rFonts w:ascii="仿宋" w:hAnsi="仿宋" w:eastAsia="仿宋"/>
                <w:sz w:val="24"/>
                <w:szCs w:val="24"/>
              </w:rPr>
              <w:t>分值构成</w:t>
            </w:r>
          </w:p>
          <w:p w14:paraId="3D68FFB4">
            <w:pPr>
              <w:pStyle w:val="14"/>
              <w:spacing w:line="360" w:lineRule="atLeast"/>
              <w:jc w:val="center"/>
              <w:rPr>
                <w:rFonts w:ascii="仿宋" w:hAnsi="仿宋" w:eastAsia="仿宋"/>
                <w:sz w:val="24"/>
                <w:szCs w:val="24"/>
              </w:rPr>
            </w:pPr>
            <w:r>
              <w:rPr>
                <w:rFonts w:ascii="仿宋" w:hAnsi="仿宋" w:eastAsia="仿宋"/>
                <w:sz w:val="24"/>
                <w:szCs w:val="24"/>
              </w:rPr>
              <w:t>（100分）</w:t>
            </w:r>
          </w:p>
        </w:tc>
        <w:tc>
          <w:tcPr>
            <w:tcW w:w="4944" w:type="dxa"/>
            <w:tcBorders>
              <w:top w:val="single" w:color="000000" w:sz="4" w:space="0"/>
              <w:bottom w:val="single" w:color="000000" w:sz="4" w:space="0"/>
              <w:right w:val="single" w:color="000000" w:sz="4" w:space="0"/>
            </w:tcBorders>
            <w:vAlign w:val="center"/>
          </w:tcPr>
          <w:p w14:paraId="0F2CCC1F">
            <w:pPr>
              <w:pStyle w:val="14"/>
              <w:spacing w:line="360" w:lineRule="atLeast"/>
              <w:rPr>
                <w:rFonts w:ascii="仿宋" w:hAnsi="仿宋" w:eastAsia="仿宋"/>
                <w:sz w:val="24"/>
                <w:szCs w:val="24"/>
              </w:rPr>
            </w:pPr>
            <w:r>
              <w:rPr>
                <w:rFonts w:ascii="仿宋" w:hAnsi="仿宋" w:eastAsia="仿宋"/>
                <w:sz w:val="24"/>
                <w:szCs w:val="24"/>
              </w:rPr>
              <w:t>商务技术标</w:t>
            </w:r>
            <w:r>
              <w:rPr>
                <w:rFonts w:hint="eastAsia" w:ascii="仿宋" w:hAnsi="仿宋" w:eastAsia="仿宋"/>
                <w:sz w:val="24"/>
                <w:szCs w:val="24"/>
              </w:rPr>
              <w:t>80</w:t>
            </w:r>
            <w:r>
              <w:rPr>
                <w:rFonts w:ascii="仿宋" w:hAnsi="仿宋" w:eastAsia="仿宋"/>
                <w:sz w:val="24"/>
                <w:szCs w:val="24"/>
              </w:rPr>
              <w:t>分，报价标</w:t>
            </w:r>
            <w:r>
              <w:rPr>
                <w:rFonts w:hint="eastAsia" w:ascii="仿宋" w:hAnsi="仿宋" w:eastAsia="仿宋"/>
                <w:sz w:val="24"/>
                <w:szCs w:val="24"/>
              </w:rPr>
              <w:t>20</w:t>
            </w:r>
            <w:r>
              <w:rPr>
                <w:rFonts w:ascii="仿宋" w:hAnsi="仿宋" w:eastAsia="仿宋"/>
                <w:sz w:val="24"/>
                <w:szCs w:val="24"/>
              </w:rPr>
              <w:t>分</w:t>
            </w:r>
          </w:p>
        </w:tc>
      </w:tr>
      <w:tr w14:paraId="335DF6D8">
        <w:tblPrEx>
          <w:tblCellMar>
            <w:top w:w="0" w:type="dxa"/>
            <w:left w:w="108" w:type="dxa"/>
            <w:bottom w:w="0" w:type="dxa"/>
            <w:right w:w="108" w:type="dxa"/>
          </w:tblCellMar>
        </w:tblPrEx>
        <w:trPr>
          <w:trHeight w:val="470" w:hRule="atLeast"/>
          <w:jc w:val="center"/>
        </w:trPr>
        <w:tc>
          <w:tcPr>
            <w:tcW w:w="9530" w:type="dxa"/>
            <w:gridSpan w:val="5"/>
            <w:tcBorders>
              <w:top w:val="single" w:color="000000" w:sz="4" w:space="0"/>
              <w:left w:val="single" w:color="000000" w:sz="4" w:space="0"/>
              <w:bottom w:val="single" w:color="000000" w:sz="4" w:space="0"/>
              <w:right w:val="single" w:color="000000" w:sz="4" w:space="0"/>
            </w:tcBorders>
          </w:tcPr>
          <w:p w14:paraId="43B86856">
            <w:pPr>
              <w:pStyle w:val="14"/>
              <w:spacing w:line="360" w:lineRule="atLeast"/>
              <w:rPr>
                <w:rFonts w:ascii="仿宋" w:hAnsi="仿宋" w:eastAsia="仿宋"/>
                <w:sz w:val="24"/>
                <w:szCs w:val="24"/>
              </w:rPr>
            </w:pPr>
            <w:r>
              <w:rPr>
                <w:rFonts w:ascii="仿宋" w:hAnsi="仿宋" w:eastAsia="仿宋"/>
                <w:sz w:val="24"/>
                <w:szCs w:val="24"/>
              </w:rPr>
              <w:t>技术分按算术平均值计算。分值小数点后保留两位。</w:t>
            </w:r>
          </w:p>
        </w:tc>
      </w:tr>
      <w:tr w14:paraId="59F95C58">
        <w:tblPrEx>
          <w:tblCellMar>
            <w:top w:w="0" w:type="dxa"/>
            <w:left w:w="108" w:type="dxa"/>
            <w:bottom w:w="0" w:type="dxa"/>
            <w:right w:w="108" w:type="dxa"/>
          </w:tblCellMar>
        </w:tblPrEx>
        <w:trPr>
          <w:trHeight w:val="477" w:hRule="atLeast"/>
          <w:jc w:val="center"/>
        </w:trPr>
        <w:tc>
          <w:tcPr>
            <w:tcW w:w="1463" w:type="dxa"/>
            <w:tcBorders>
              <w:top w:val="single" w:color="000000" w:sz="4" w:space="0"/>
              <w:left w:val="single" w:color="000000" w:sz="4" w:space="0"/>
              <w:bottom w:val="single" w:color="000000" w:sz="4" w:space="0"/>
              <w:right w:val="single" w:color="000000" w:sz="4" w:space="0"/>
            </w:tcBorders>
            <w:vAlign w:val="center"/>
          </w:tcPr>
          <w:p w14:paraId="6B87368E">
            <w:pPr>
              <w:pStyle w:val="14"/>
              <w:spacing w:line="360" w:lineRule="atLeast"/>
              <w:jc w:val="center"/>
              <w:rPr>
                <w:rFonts w:ascii="仿宋" w:hAnsi="仿宋" w:eastAsia="仿宋"/>
                <w:sz w:val="24"/>
                <w:szCs w:val="24"/>
              </w:rPr>
            </w:pPr>
            <w:r>
              <w:rPr>
                <w:rFonts w:ascii="仿宋" w:hAnsi="仿宋" w:eastAsia="仿宋"/>
                <w:sz w:val="24"/>
                <w:szCs w:val="24"/>
              </w:rPr>
              <w:t>条款号</w:t>
            </w:r>
          </w:p>
        </w:tc>
        <w:tc>
          <w:tcPr>
            <w:tcW w:w="1340" w:type="dxa"/>
            <w:gridSpan w:val="2"/>
            <w:tcBorders>
              <w:top w:val="single" w:color="000000" w:sz="4" w:space="0"/>
              <w:bottom w:val="single" w:color="000000" w:sz="4" w:space="0"/>
              <w:right w:val="single" w:color="000000" w:sz="4" w:space="0"/>
            </w:tcBorders>
            <w:vAlign w:val="center"/>
          </w:tcPr>
          <w:p w14:paraId="3DD7FB71">
            <w:pPr>
              <w:pStyle w:val="14"/>
              <w:spacing w:line="360" w:lineRule="atLeast"/>
              <w:jc w:val="center"/>
              <w:rPr>
                <w:rFonts w:ascii="仿宋" w:hAnsi="仿宋" w:eastAsia="仿宋"/>
                <w:sz w:val="24"/>
                <w:szCs w:val="24"/>
              </w:rPr>
            </w:pPr>
            <w:r>
              <w:rPr>
                <w:rFonts w:ascii="仿宋" w:hAnsi="仿宋" w:eastAsia="仿宋"/>
                <w:sz w:val="24"/>
                <w:szCs w:val="24"/>
              </w:rPr>
              <w:t>评分因素</w:t>
            </w:r>
          </w:p>
        </w:tc>
        <w:tc>
          <w:tcPr>
            <w:tcW w:w="6727" w:type="dxa"/>
            <w:gridSpan w:val="2"/>
            <w:tcBorders>
              <w:top w:val="single" w:color="000000" w:sz="4" w:space="0"/>
              <w:bottom w:val="single" w:color="000000" w:sz="4" w:space="0"/>
              <w:right w:val="single" w:color="000000" w:sz="4" w:space="0"/>
            </w:tcBorders>
            <w:vAlign w:val="center"/>
          </w:tcPr>
          <w:p w14:paraId="50E1FA93">
            <w:pPr>
              <w:pStyle w:val="14"/>
              <w:spacing w:line="360" w:lineRule="atLeast"/>
              <w:jc w:val="center"/>
              <w:rPr>
                <w:rFonts w:ascii="仿宋" w:hAnsi="仿宋" w:eastAsia="仿宋"/>
                <w:sz w:val="24"/>
                <w:szCs w:val="24"/>
              </w:rPr>
            </w:pPr>
            <w:r>
              <w:rPr>
                <w:rFonts w:ascii="仿宋" w:hAnsi="仿宋" w:eastAsia="仿宋"/>
                <w:sz w:val="24"/>
                <w:szCs w:val="24"/>
              </w:rPr>
              <w:t>评分标准</w:t>
            </w:r>
          </w:p>
        </w:tc>
      </w:tr>
      <w:tr w14:paraId="176A0764">
        <w:tblPrEx>
          <w:tblCellMar>
            <w:top w:w="0" w:type="dxa"/>
            <w:left w:w="108" w:type="dxa"/>
            <w:bottom w:w="0" w:type="dxa"/>
            <w:right w:w="108" w:type="dxa"/>
          </w:tblCellMar>
        </w:tblPrEx>
        <w:trPr>
          <w:trHeight w:val="90" w:hRule="atLeast"/>
          <w:jc w:val="center"/>
        </w:trPr>
        <w:tc>
          <w:tcPr>
            <w:tcW w:w="1463" w:type="dxa"/>
            <w:vMerge w:val="restart"/>
            <w:tcBorders>
              <w:left w:val="single" w:color="000000" w:sz="4" w:space="0"/>
              <w:right w:val="single" w:color="000000" w:sz="4" w:space="0"/>
            </w:tcBorders>
            <w:vAlign w:val="center"/>
          </w:tcPr>
          <w:p w14:paraId="452B7F47">
            <w:pPr>
              <w:pStyle w:val="14"/>
              <w:spacing w:line="360" w:lineRule="atLeast"/>
              <w:jc w:val="left"/>
              <w:rPr>
                <w:rFonts w:ascii="仿宋" w:hAnsi="仿宋" w:eastAsia="仿宋"/>
                <w:sz w:val="24"/>
                <w:szCs w:val="24"/>
              </w:rPr>
            </w:pPr>
            <w:r>
              <w:rPr>
                <w:rFonts w:ascii="仿宋" w:hAnsi="仿宋" w:eastAsia="仿宋"/>
                <w:sz w:val="24"/>
                <w:szCs w:val="24"/>
              </w:rPr>
              <w:t>2.2.2商务技术标</w:t>
            </w:r>
          </w:p>
          <w:p w14:paraId="439B439A">
            <w:pPr>
              <w:pStyle w:val="14"/>
              <w:spacing w:line="360" w:lineRule="atLeast"/>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0分）</w:t>
            </w:r>
          </w:p>
        </w:tc>
        <w:tc>
          <w:tcPr>
            <w:tcW w:w="1340" w:type="dxa"/>
            <w:gridSpan w:val="2"/>
            <w:tcBorders>
              <w:top w:val="single" w:color="000000" w:sz="4" w:space="0"/>
              <w:bottom w:val="single" w:color="000000" w:sz="4" w:space="0"/>
              <w:right w:val="single" w:color="000000" w:sz="4" w:space="0"/>
            </w:tcBorders>
            <w:vAlign w:val="center"/>
          </w:tcPr>
          <w:p w14:paraId="09C4580E">
            <w:pPr>
              <w:spacing w:line="380" w:lineRule="atLeast"/>
              <w:jc w:val="center"/>
              <w:rPr>
                <w:rFonts w:ascii="仿宋" w:hAnsi="仿宋" w:eastAsia="仿宋"/>
              </w:rPr>
            </w:pPr>
            <w:r>
              <w:rPr>
                <w:rFonts w:hint="eastAsia" w:ascii="仿宋" w:hAnsi="仿宋" w:eastAsia="仿宋"/>
              </w:rPr>
              <w:t>响应供应商的健康管理服务方案</w:t>
            </w:r>
          </w:p>
          <w:p w14:paraId="41AF20EF">
            <w:pPr>
              <w:spacing w:line="380" w:lineRule="atLeast"/>
              <w:jc w:val="center"/>
              <w:rPr>
                <w:rFonts w:ascii="仿宋" w:hAnsi="仿宋" w:eastAsia="仿宋"/>
              </w:rPr>
            </w:pPr>
            <w:r>
              <w:rPr>
                <w:rFonts w:hint="eastAsia" w:ascii="仿宋" w:hAnsi="仿宋" w:eastAsia="仿宋"/>
              </w:rPr>
              <w:t>（30分）</w:t>
            </w:r>
          </w:p>
        </w:tc>
        <w:tc>
          <w:tcPr>
            <w:tcW w:w="6727" w:type="dxa"/>
            <w:gridSpan w:val="2"/>
            <w:tcBorders>
              <w:top w:val="single" w:color="000000" w:sz="4" w:space="0"/>
              <w:bottom w:val="single" w:color="000000" w:sz="4" w:space="0"/>
              <w:right w:val="single" w:color="000000" w:sz="4" w:space="0"/>
            </w:tcBorders>
            <w:vAlign w:val="center"/>
          </w:tcPr>
          <w:p w14:paraId="50AB16F5">
            <w:pPr>
              <w:widowControl/>
              <w:spacing w:line="380" w:lineRule="atLeast"/>
              <w:jc w:val="left"/>
              <w:rPr>
                <w:rFonts w:ascii="仿宋" w:hAnsi="仿宋" w:eastAsia="仿宋"/>
              </w:rPr>
            </w:pPr>
            <w:r>
              <w:rPr>
                <w:rFonts w:hint="eastAsia" w:ascii="仿宋" w:hAnsi="仿宋" w:eastAsia="仿宋"/>
              </w:rPr>
              <w:t>评标委员会按照本项目第四章项目需求各包的具体技术要求给各响应供应商递交的投标资料进行打分，具体评分分值如下：</w:t>
            </w:r>
          </w:p>
          <w:p w14:paraId="0C6CFDE6">
            <w:pPr>
              <w:widowControl/>
              <w:spacing w:line="360" w:lineRule="auto"/>
              <w:jc w:val="left"/>
              <w:rPr>
                <w:rFonts w:ascii="仿宋" w:hAnsi="仿宋" w:eastAsia="仿宋" w:cs="仿宋"/>
                <w:szCs w:val="21"/>
              </w:rPr>
            </w:pPr>
            <w:r>
              <w:rPr>
                <w:rFonts w:hint="eastAsia" w:ascii="仿宋" w:hAnsi="仿宋" w:eastAsia="仿宋" w:cs="仿宋"/>
              </w:rPr>
              <w:t>（1）方案具有完整性、针对性、规范性和实际操作的可行性得分：4-6分；方案具有较完整性、针对性、规范性和实际操作的可行性得分2-3.9分；有方案的得分：0-1.9分。</w:t>
            </w:r>
          </w:p>
          <w:p w14:paraId="5F90368F">
            <w:pPr>
              <w:widowControl/>
              <w:spacing w:line="360" w:lineRule="auto"/>
              <w:jc w:val="left"/>
              <w:rPr>
                <w:rFonts w:ascii="仿宋" w:hAnsi="仿宋" w:eastAsia="仿宋" w:cs="仿宋"/>
              </w:rPr>
            </w:pPr>
            <w:r>
              <w:rPr>
                <w:rFonts w:hint="eastAsia" w:ascii="仿宋" w:hAnsi="仿宋" w:eastAsia="仿宋"/>
              </w:rPr>
              <w:t>（2）</w:t>
            </w:r>
            <w:r>
              <w:rPr>
                <w:rFonts w:hint="eastAsia" w:ascii="仿宋" w:hAnsi="仿宋" w:eastAsia="仿宋" w:cs="仿宋"/>
              </w:rPr>
              <w:t>健康体检个性化服务及专家咨询服务专业、科学：内容完整、科学可行、进度安排合理的得4-6分；描述基本清晰、可行性、合理性一般的，得2-3.9分；缺乏实际可行性、合理性的得 0-1.9分。</w:t>
            </w:r>
          </w:p>
          <w:p w14:paraId="26B24B91">
            <w:pPr>
              <w:widowControl/>
              <w:spacing w:line="360" w:lineRule="auto"/>
              <w:jc w:val="left"/>
              <w:rPr>
                <w:rFonts w:ascii="仿宋" w:hAnsi="仿宋" w:eastAsia="仿宋" w:cs="仿宋"/>
              </w:rPr>
            </w:pPr>
            <w:r>
              <w:rPr>
                <w:rFonts w:hint="eastAsia" w:ascii="仿宋" w:hAnsi="仿宋" w:eastAsia="仿宋" w:cs="仿宋"/>
              </w:rPr>
              <w:t>（3）管理平台系统和健康档案管理系统专业、科学：内容完整、科学可行的得4-6分；描述基本清晰、可行性、合理性一般的，得2-3.9分；缺乏实际可行性、合理性的得 0-1.9分。</w:t>
            </w:r>
          </w:p>
          <w:p w14:paraId="037805D2">
            <w:pPr>
              <w:widowControl/>
              <w:spacing w:line="360" w:lineRule="auto"/>
              <w:jc w:val="left"/>
              <w:rPr>
                <w:rFonts w:ascii="仿宋" w:hAnsi="仿宋" w:eastAsia="仿宋" w:cs="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）提供检后慢病康复管理的专业、科学：内容完整、科学可行的得4-6分；描述基本清晰、可行性、合理性一般的，得2-3.9分；缺乏实际可行性、合理性的得 0-1.9分。</w:t>
            </w:r>
          </w:p>
          <w:p w14:paraId="3A4256C7">
            <w:pPr>
              <w:widowControl/>
              <w:spacing w:line="360" w:lineRule="auto"/>
              <w:jc w:val="left"/>
              <w:rPr>
                <w:rFonts w:ascii="仿宋" w:hAnsi="仿宋" w:eastAsia="仿宋" w:cs="仿宋"/>
              </w:rPr>
            </w:pPr>
            <w:r>
              <w:rPr>
                <w:rFonts w:hint="eastAsia" w:ascii="仿宋" w:hAnsi="仿宋" w:eastAsia="仿宋" w:cs="仿宋"/>
              </w:rPr>
              <w:t>（5）提供普及保健知识的服务方案内容专业、科学：内容完整、科学可行的得4-6分；描述基本清晰、可行性、合理性一般的，得2-3.9分；缺乏实际可行性、合理性的得 0-1.9分。</w:t>
            </w:r>
          </w:p>
        </w:tc>
      </w:tr>
      <w:tr w14:paraId="7266C1F8">
        <w:tblPrEx>
          <w:tblCellMar>
            <w:top w:w="0" w:type="dxa"/>
            <w:left w:w="108" w:type="dxa"/>
            <w:bottom w:w="0" w:type="dxa"/>
            <w:right w:w="108" w:type="dxa"/>
          </w:tblCellMar>
        </w:tblPrEx>
        <w:trPr>
          <w:trHeight w:val="330" w:hRule="atLeast"/>
          <w:jc w:val="center"/>
        </w:trPr>
        <w:tc>
          <w:tcPr>
            <w:tcW w:w="1463" w:type="dxa"/>
            <w:vMerge w:val="continue"/>
            <w:tcBorders>
              <w:left w:val="single" w:color="000000" w:sz="4" w:space="0"/>
              <w:right w:val="single" w:color="000000" w:sz="4" w:space="0"/>
            </w:tcBorders>
            <w:vAlign w:val="center"/>
          </w:tcPr>
          <w:p w14:paraId="10B24AB3">
            <w:pPr>
              <w:pStyle w:val="14"/>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5D39326F">
            <w:pPr>
              <w:rPr>
                <w:rFonts w:ascii="仿宋" w:hAnsi="仿宋" w:eastAsia="仿宋"/>
              </w:rPr>
            </w:pPr>
            <w:r>
              <w:rPr>
                <w:rFonts w:hint="eastAsia" w:ascii="仿宋" w:hAnsi="仿宋" w:eastAsia="仿宋"/>
              </w:rPr>
              <w:t>响应供应商服务质量的保证</w:t>
            </w:r>
          </w:p>
          <w:p w14:paraId="4E75ED88">
            <w:pPr>
              <w:rPr>
                <w:rFonts w:ascii="仿宋" w:hAnsi="仿宋" w:eastAsia="仿宋"/>
              </w:rPr>
            </w:pPr>
            <w:r>
              <w:rPr>
                <w:rFonts w:hint="eastAsia" w:ascii="仿宋" w:hAnsi="仿宋" w:eastAsia="仿宋"/>
              </w:rPr>
              <w:t>（16分）</w:t>
            </w:r>
          </w:p>
        </w:tc>
        <w:tc>
          <w:tcPr>
            <w:tcW w:w="6727" w:type="dxa"/>
            <w:gridSpan w:val="2"/>
            <w:tcBorders>
              <w:top w:val="single" w:color="000000" w:sz="4" w:space="0"/>
              <w:bottom w:val="single" w:color="000000" w:sz="4" w:space="0"/>
              <w:right w:val="single" w:color="000000" w:sz="4" w:space="0"/>
            </w:tcBorders>
            <w:vAlign w:val="center"/>
          </w:tcPr>
          <w:p w14:paraId="2DBCA4F8">
            <w:pPr>
              <w:widowControl/>
              <w:numPr>
                <w:ilvl w:val="0"/>
                <w:numId w:val="4"/>
              </w:numPr>
              <w:spacing w:line="360" w:lineRule="auto"/>
              <w:jc w:val="left"/>
              <w:rPr>
                <w:rFonts w:ascii="仿宋" w:hAnsi="仿宋" w:eastAsia="仿宋" w:cs="仿宋"/>
                <w:b/>
              </w:rPr>
            </w:pPr>
            <w:r>
              <w:rPr>
                <w:rFonts w:hint="eastAsia" w:ascii="仿宋" w:hAnsi="仿宋" w:eastAsia="仿宋" w:cs="仿宋"/>
              </w:rPr>
              <w:t>提供的检测方法先进、科学、合理，根据巡检需要的相应的仪器设备横向对比，提供设备清单及厂家型号、购置时间、主要性能指标等：相应</w:t>
            </w:r>
            <w:r>
              <w:rPr>
                <w:rFonts w:hint="eastAsia" w:ascii="仿宋" w:hAnsi="仿宋" w:eastAsia="仿宋" w:cs="仿宋"/>
                <w:bCs/>
              </w:rPr>
              <w:t>仪器功能配置</w:t>
            </w:r>
            <w:r>
              <w:rPr>
                <w:rFonts w:hint="eastAsia" w:ascii="仿宋" w:hAnsi="仿宋" w:eastAsia="仿宋" w:cs="仿宋"/>
              </w:rPr>
              <w:t>具有完整且合理性的得分</w:t>
            </w:r>
            <w:r>
              <w:rPr>
                <w:rFonts w:hint="eastAsia" w:ascii="仿宋" w:hAnsi="仿宋" w:eastAsia="仿宋" w:cs="仿宋"/>
                <w:bCs/>
              </w:rPr>
              <w:t>6-7分；</w:t>
            </w:r>
            <w:r>
              <w:rPr>
                <w:rFonts w:hint="eastAsia" w:ascii="仿宋" w:hAnsi="仿宋" w:eastAsia="仿宋" w:cs="仿宋"/>
              </w:rPr>
              <w:t>相应</w:t>
            </w:r>
            <w:r>
              <w:rPr>
                <w:rFonts w:hint="eastAsia" w:ascii="仿宋" w:hAnsi="仿宋" w:eastAsia="仿宋" w:cs="仿宋"/>
                <w:bCs/>
              </w:rPr>
              <w:t>仪器功能配置</w:t>
            </w:r>
            <w:r>
              <w:rPr>
                <w:rFonts w:hint="eastAsia" w:ascii="仿宋" w:hAnsi="仿宋" w:eastAsia="仿宋" w:cs="仿宋"/>
              </w:rPr>
              <w:t>有较完整的得分</w:t>
            </w:r>
            <w:r>
              <w:rPr>
                <w:rFonts w:hint="eastAsia" w:ascii="仿宋" w:hAnsi="仿宋" w:eastAsia="仿宋" w:cs="仿宋"/>
                <w:bCs/>
              </w:rPr>
              <w:t>3-5.9分；</w:t>
            </w:r>
            <w:r>
              <w:rPr>
                <w:rFonts w:hint="eastAsia" w:ascii="仿宋" w:hAnsi="仿宋" w:eastAsia="仿宋" w:cs="仿宋"/>
              </w:rPr>
              <w:t>相应</w:t>
            </w:r>
            <w:r>
              <w:rPr>
                <w:rFonts w:hint="eastAsia" w:ascii="仿宋" w:hAnsi="仿宋" w:eastAsia="仿宋" w:cs="仿宋"/>
                <w:bCs/>
              </w:rPr>
              <w:t>仪器配置</w:t>
            </w:r>
            <w:r>
              <w:rPr>
                <w:rFonts w:hint="eastAsia" w:ascii="仿宋" w:hAnsi="仿宋" w:eastAsia="仿宋" w:cs="仿宋"/>
              </w:rPr>
              <w:t>有</w:t>
            </w:r>
            <w:r>
              <w:rPr>
                <w:rFonts w:hint="eastAsia" w:ascii="仿宋" w:hAnsi="仿宋" w:eastAsia="仿宋" w:cs="仿宋"/>
                <w:bCs/>
              </w:rPr>
              <w:t>，但是不完整的</w:t>
            </w:r>
            <w:r>
              <w:rPr>
                <w:rFonts w:hint="eastAsia" w:ascii="仿宋" w:hAnsi="仿宋" w:eastAsia="仿宋" w:cs="仿宋"/>
              </w:rPr>
              <w:t>得分</w:t>
            </w:r>
            <w:r>
              <w:rPr>
                <w:rFonts w:hint="eastAsia" w:ascii="仿宋" w:hAnsi="仿宋" w:eastAsia="仿宋" w:cs="仿宋"/>
                <w:bCs/>
              </w:rPr>
              <w:t>0-2.9分</w:t>
            </w:r>
            <w:r>
              <w:rPr>
                <w:rFonts w:hint="eastAsia" w:ascii="仿宋" w:hAnsi="仿宋" w:eastAsia="仿宋" w:cs="仿宋"/>
              </w:rPr>
              <w:t>。</w:t>
            </w:r>
            <w:r>
              <w:rPr>
                <w:rFonts w:hint="eastAsia" w:ascii="仿宋" w:hAnsi="仿宋" w:eastAsia="仿宋" w:cs="仿宋"/>
                <w:b/>
              </w:rPr>
              <w:t>★以上响应供应商需提供所有产品必须提拱有效的完税发票，如为进口产品，提供入关证明，未提供完税发票或入关证明的不作为评分依据。</w:t>
            </w:r>
          </w:p>
          <w:p w14:paraId="74850072">
            <w:pPr>
              <w:widowControl/>
              <w:numPr>
                <w:ilvl w:val="0"/>
                <w:numId w:val="4"/>
              </w:numPr>
              <w:spacing w:line="360" w:lineRule="auto"/>
              <w:jc w:val="left"/>
              <w:rPr>
                <w:rFonts w:ascii="仿宋" w:hAnsi="仿宋" w:eastAsia="仿宋" w:cs="仿宋"/>
                <w:b/>
              </w:rPr>
            </w:pPr>
            <w:r>
              <w:rPr>
                <w:rFonts w:hint="eastAsia" w:ascii="仿宋" w:hAnsi="仿宋" w:eastAsia="仿宋" w:cs="仿宋"/>
              </w:rPr>
              <w:t>响应供应商针对本项目服务人员的安排方案，包括服务人员总人数、人员安排、人员专业资质等进行综合评价打分：服务人员方案完整有针对性、可行性、合理性的得6-7分； 服务人员方案较完整有针对性、可行性、合理性的得3-5.9分；有服务人员方案，但不完整的得0-2.9分。</w:t>
            </w:r>
          </w:p>
          <w:p w14:paraId="34D1A18D">
            <w:pPr>
              <w:widowControl/>
              <w:numPr>
                <w:ilvl w:val="0"/>
                <w:numId w:val="4"/>
              </w:numPr>
              <w:spacing w:line="360" w:lineRule="auto"/>
              <w:jc w:val="left"/>
            </w:pPr>
            <w:r>
              <w:rPr>
                <w:rFonts w:hint="eastAsia" w:ascii="仿宋" w:hAnsi="仿宋" w:eastAsia="仿宋" w:cs="仿宋"/>
              </w:rPr>
              <w:t>根据提供的营养早餐明细评委进行比较综合评定打分：根据早餐的品种多样、营养配比均衡1-2分；早餐品种单一、营养配比不均衡的得0-0.9分</w:t>
            </w:r>
          </w:p>
        </w:tc>
      </w:tr>
      <w:tr w14:paraId="6881976B">
        <w:tblPrEx>
          <w:tblCellMar>
            <w:top w:w="0" w:type="dxa"/>
            <w:left w:w="108" w:type="dxa"/>
            <w:bottom w:w="0" w:type="dxa"/>
            <w:right w:w="108" w:type="dxa"/>
          </w:tblCellMar>
        </w:tblPrEx>
        <w:trPr>
          <w:trHeight w:val="720" w:hRule="atLeast"/>
          <w:jc w:val="center"/>
        </w:trPr>
        <w:tc>
          <w:tcPr>
            <w:tcW w:w="1463" w:type="dxa"/>
            <w:vMerge w:val="continue"/>
            <w:tcBorders>
              <w:left w:val="single" w:color="000000" w:sz="4" w:space="0"/>
              <w:right w:val="single" w:color="000000" w:sz="4" w:space="0"/>
            </w:tcBorders>
            <w:vAlign w:val="center"/>
          </w:tcPr>
          <w:p w14:paraId="6E77CE11">
            <w:pPr>
              <w:pStyle w:val="14"/>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5E5B877C">
            <w:pPr>
              <w:rPr>
                <w:rFonts w:ascii="仿宋" w:hAnsi="仿宋" w:eastAsia="仿宋"/>
              </w:rPr>
            </w:pPr>
            <w:r>
              <w:rPr>
                <w:rFonts w:hint="eastAsia" w:ascii="仿宋" w:hAnsi="仿宋" w:eastAsia="仿宋"/>
              </w:rPr>
              <w:t>医疗机构相关资质(5分）</w:t>
            </w:r>
          </w:p>
        </w:tc>
        <w:tc>
          <w:tcPr>
            <w:tcW w:w="6727" w:type="dxa"/>
            <w:gridSpan w:val="2"/>
            <w:tcBorders>
              <w:top w:val="single" w:color="000000" w:sz="4" w:space="0"/>
              <w:bottom w:val="single" w:color="000000" w:sz="4" w:space="0"/>
              <w:right w:val="single" w:color="000000" w:sz="4" w:space="0"/>
            </w:tcBorders>
            <w:vAlign w:val="center"/>
          </w:tcPr>
          <w:p w14:paraId="66D331C6">
            <w:pPr>
              <w:widowControl/>
              <w:spacing w:line="360" w:lineRule="auto"/>
              <w:jc w:val="left"/>
              <w:rPr>
                <w:rFonts w:ascii="仿宋" w:hAnsi="仿宋" w:eastAsia="仿宋" w:cs="仿宋"/>
              </w:rPr>
            </w:pPr>
            <w:r>
              <w:rPr>
                <w:rFonts w:hint="eastAsia" w:ascii="仿宋" w:hAnsi="仿宋" w:eastAsia="仿宋" w:cs="仿宋"/>
              </w:rPr>
              <w:t>是市或区县级军人军属、退役军人和其他优抚对象优待定点医院的，得5分；没有相关资质的，不得分。</w:t>
            </w:r>
          </w:p>
        </w:tc>
      </w:tr>
      <w:tr w14:paraId="7D15D1B3">
        <w:tblPrEx>
          <w:tblCellMar>
            <w:top w:w="0" w:type="dxa"/>
            <w:left w:w="108" w:type="dxa"/>
            <w:bottom w:w="0" w:type="dxa"/>
            <w:right w:w="108" w:type="dxa"/>
          </w:tblCellMar>
        </w:tblPrEx>
        <w:trPr>
          <w:trHeight w:val="315" w:hRule="atLeast"/>
          <w:jc w:val="center"/>
        </w:trPr>
        <w:tc>
          <w:tcPr>
            <w:tcW w:w="1463" w:type="dxa"/>
            <w:vMerge w:val="continue"/>
            <w:tcBorders>
              <w:left w:val="single" w:color="000000" w:sz="4" w:space="0"/>
              <w:right w:val="single" w:color="000000" w:sz="4" w:space="0"/>
            </w:tcBorders>
            <w:vAlign w:val="center"/>
          </w:tcPr>
          <w:p w14:paraId="54DC2367">
            <w:pPr>
              <w:pStyle w:val="14"/>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1944145F">
            <w:pPr>
              <w:rPr>
                <w:rFonts w:ascii="仿宋" w:hAnsi="仿宋" w:eastAsia="仿宋"/>
              </w:rPr>
            </w:pPr>
            <w:r>
              <w:rPr>
                <w:rFonts w:hint="eastAsia" w:ascii="仿宋" w:hAnsi="仿宋" w:eastAsia="仿宋"/>
              </w:rPr>
              <w:t>响应供应商类似业绩</w:t>
            </w:r>
          </w:p>
          <w:p w14:paraId="734305F2">
            <w:pPr>
              <w:rPr>
                <w:rFonts w:ascii="仿宋" w:hAnsi="仿宋" w:eastAsia="仿宋"/>
                <w:kern w:val="2"/>
                <w:sz w:val="24"/>
                <w:szCs w:val="24"/>
                <w:lang w:bidi="ar-SA"/>
              </w:rPr>
            </w:pPr>
            <w:r>
              <w:rPr>
                <w:rFonts w:hint="eastAsia" w:ascii="仿宋" w:hAnsi="仿宋" w:eastAsia="仿宋"/>
              </w:rPr>
              <w:t>（6分）</w:t>
            </w:r>
          </w:p>
        </w:tc>
        <w:tc>
          <w:tcPr>
            <w:tcW w:w="6727" w:type="dxa"/>
            <w:gridSpan w:val="2"/>
            <w:tcBorders>
              <w:top w:val="single" w:color="000000" w:sz="4" w:space="0"/>
              <w:bottom w:val="single" w:color="000000" w:sz="4" w:space="0"/>
              <w:right w:val="single" w:color="000000" w:sz="4" w:space="0"/>
            </w:tcBorders>
            <w:vAlign w:val="center"/>
          </w:tcPr>
          <w:p w14:paraId="4C307210">
            <w:pPr>
              <w:widowControl/>
              <w:spacing w:line="360" w:lineRule="auto"/>
              <w:jc w:val="left"/>
              <w:rPr>
                <w:rFonts w:ascii="仿宋" w:hAnsi="仿宋" w:eastAsia="仿宋"/>
                <w:kern w:val="2"/>
                <w:sz w:val="24"/>
                <w:szCs w:val="24"/>
                <w:lang w:bidi="ar-SA"/>
              </w:rPr>
            </w:pPr>
            <w:r>
              <w:rPr>
                <w:rFonts w:hint="eastAsia" w:ascii="仿宋" w:hAnsi="仿宋" w:eastAsia="仿宋" w:cs="仿宋"/>
              </w:rPr>
              <w:t>近三年（自2021年1月起至今，时间以签订合同时间为准）响应供应商独立完成类似本项目健康体检的成功业绩，每提供1份有效的业绩合同复印件（加盖公章为准）得2分，最多得6分（原件带至开标现场备查）。</w:t>
            </w:r>
          </w:p>
        </w:tc>
      </w:tr>
      <w:tr w14:paraId="698B7491">
        <w:tblPrEx>
          <w:tblCellMar>
            <w:top w:w="0" w:type="dxa"/>
            <w:left w:w="108" w:type="dxa"/>
            <w:bottom w:w="0" w:type="dxa"/>
            <w:right w:w="108" w:type="dxa"/>
          </w:tblCellMar>
        </w:tblPrEx>
        <w:trPr>
          <w:trHeight w:val="916" w:hRule="atLeast"/>
          <w:jc w:val="center"/>
        </w:trPr>
        <w:tc>
          <w:tcPr>
            <w:tcW w:w="1463" w:type="dxa"/>
            <w:vMerge w:val="continue"/>
            <w:tcBorders>
              <w:left w:val="single" w:color="000000" w:sz="4" w:space="0"/>
              <w:right w:val="single" w:color="000000" w:sz="4" w:space="0"/>
            </w:tcBorders>
            <w:vAlign w:val="center"/>
          </w:tcPr>
          <w:p w14:paraId="2A230F97">
            <w:pPr>
              <w:pStyle w:val="14"/>
              <w:spacing w:line="360" w:lineRule="atLeast"/>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0FDCE54E">
            <w:pPr>
              <w:rPr>
                <w:rFonts w:ascii="仿宋" w:hAnsi="仿宋" w:eastAsia="仿宋"/>
                <w:kern w:val="2"/>
                <w:sz w:val="24"/>
                <w:szCs w:val="24"/>
                <w:lang w:bidi="ar-SA"/>
              </w:rPr>
            </w:pPr>
            <w:r>
              <w:rPr>
                <w:rFonts w:hint="eastAsia" w:ascii="仿宋" w:hAnsi="仿宋" w:eastAsia="仿宋" w:cs="仿宋"/>
              </w:rPr>
              <w:t>响应供应商的进度保障措施（4分）</w:t>
            </w:r>
          </w:p>
        </w:tc>
        <w:tc>
          <w:tcPr>
            <w:tcW w:w="6727" w:type="dxa"/>
            <w:gridSpan w:val="2"/>
            <w:tcBorders>
              <w:top w:val="single" w:color="000000" w:sz="4" w:space="0"/>
              <w:bottom w:val="single" w:color="000000" w:sz="4" w:space="0"/>
              <w:right w:val="single" w:color="000000" w:sz="4" w:space="0"/>
            </w:tcBorders>
            <w:vAlign w:val="center"/>
          </w:tcPr>
          <w:p w14:paraId="553832D3">
            <w:pPr>
              <w:jc w:val="left"/>
              <w:rPr>
                <w:rFonts w:ascii="仿宋" w:hAnsi="仿宋" w:eastAsia="仿宋"/>
                <w:kern w:val="2"/>
                <w:sz w:val="24"/>
                <w:szCs w:val="24"/>
                <w:lang w:bidi="ar-SA"/>
              </w:rPr>
            </w:pPr>
            <w:r>
              <w:rPr>
                <w:rFonts w:hint="eastAsia" w:ascii="仿宋" w:hAnsi="仿宋" w:eastAsia="仿宋" w:cs="仿宋"/>
              </w:rPr>
              <w:t>各体检科目安排合理，措施得当的得3-4分；各体检科目安排合理，有措施的得2-2.9分；有安排，但合理的0-1.9。</w:t>
            </w:r>
          </w:p>
        </w:tc>
      </w:tr>
      <w:tr w14:paraId="4EBC8784">
        <w:tblPrEx>
          <w:tblCellMar>
            <w:top w:w="0" w:type="dxa"/>
            <w:left w:w="108" w:type="dxa"/>
            <w:bottom w:w="0" w:type="dxa"/>
            <w:right w:w="108" w:type="dxa"/>
          </w:tblCellMar>
        </w:tblPrEx>
        <w:trPr>
          <w:trHeight w:val="274" w:hRule="atLeast"/>
          <w:jc w:val="center"/>
        </w:trPr>
        <w:tc>
          <w:tcPr>
            <w:tcW w:w="1463" w:type="dxa"/>
            <w:vMerge w:val="continue"/>
            <w:tcBorders>
              <w:left w:val="single" w:color="000000" w:sz="4" w:space="0"/>
              <w:right w:val="single" w:color="000000" w:sz="4" w:space="0"/>
            </w:tcBorders>
            <w:vAlign w:val="center"/>
          </w:tcPr>
          <w:p w14:paraId="59AEEE70">
            <w:pPr>
              <w:pStyle w:val="14"/>
              <w:spacing w:line="360" w:lineRule="atLeast"/>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6930BFB3">
            <w:pPr>
              <w:rPr>
                <w:rFonts w:ascii="仿宋" w:hAnsi="仿宋" w:eastAsia="仿宋"/>
              </w:rPr>
            </w:pPr>
            <w:r>
              <w:rPr>
                <w:rFonts w:hint="eastAsia" w:ascii="仿宋" w:hAnsi="仿宋" w:eastAsia="仿宋"/>
              </w:rPr>
              <w:t>响应供应商技术力量</w:t>
            </w:r>
          </w:p>
          <w:p w14:paraId="03925B3F">
            <w:pPr>
              <w:rPr>
                <w:rFonts w:ascii="仿宋" w:hAnsi="仿宋" w:eastAsia="仿宋"/>
                <w:kern w:val="2"/>
                <w:sz w:val="24"/>
                <w:szCs w:val="24"/>
                <w:lang w:bidi="ar-SA"/>
              </w:rPr>
            </w:pPr>
            <w:r>
              <w:rPr>
                <w:rFonts w:hint="eastAsia" w:ascii="仿宋" w:hAnsi="仿宋" w:eastAsia="仿宋"/>
              </w:rPr>
              <w:t>（10分）</w:t>
            </w:r>
          </w:p>
        </w:tc>
        <w:tc>
          <w:tcPr>
            <w:tcW w:w="6727" w:type="dxa"/>
            <w:gridSpan w:val="2"/>
            <w:tcBorders>
              <w:top w:val="single" w:color="000000" w:sz="4" w:space="0"/>
              <w:bottom w:val="single" w:color="000000" w:sz="4" w:space="0"/>
              <w:right w:val="single" w:color="000000" w:sz="4" w:space="0"/>
            </w:tcBorders>
            <w:vAlign w:val="center"/>
          </w:tcPr>
          <w:p w14:paraId="0450140D">
            <w:pPr>
              <w:spacing w:line="276" w:lineRule="auto"/>
              <w:jc w:val="left"/>
              <w:rPr>
                <w:rFonts w:ascii="仿宋" w:hAnsi="仿宋" w:eastAsia="仿宋" w:cs="仿宋"/>
                <w:bCs/>
              </w:rPr>
            </w:pPr>
            <w:r>
              <w:rPr>
                <w:rFonts w:hint="eastAsia" w:ascii="仿宋" w:hAnsi="仿宋" w:eastAsia="仿宋" w:cs="仿宋"/>
                <w:bCs/>
              </w:rPr>
              <w:t>响应供应商配备的本项目医生中，具有高级职称且为内科专业的，有一个得2分；具有高级职称且为外科专业医生的有一个得2分；本项最高10分。同一人员不累计得分。</w:t>
            </w:r>
          </w:p>
          <w:p w14:paraId="7E7CF976">
            <w:pPr>
              <w:widowControl/>
              <w:spacing w:line="360" w:lineRule="exact"/>
              <w:jc w:val="left"/>
              <w:rPr>
                <w:rFonts w:ascii="仿宋" w:hAnsi="仿宋" w:eastAsia="仿宋"/>
                <w:kern w:val="2"/>
                <w:sz w:val="24"/>
                <w:szCs w:val="24"/>
                <w:lang w:bidi="ar-SA"/>
              </w:rPr>
            </w:pPr>
            <w:r>
              <w:rPr>
                <w:rFonts w:hint="eastAsia" w:ascii="仿宋" w:hAnsi="仿宋" w:eastAsia="仿宋" w:cs="仿宋"/>
                <w:b/>
              </w:rPr>
              <w:t>★以上响应供应商需提供参与本项目医务人员的资格证书及执业证书(含变更注册记录）复印件</w:t>
            </w:r>
            <w:r>
              <w:rPr>
                <w:rFonts w:hint="eastAsia" w:ascii="仿宋" w:hAnsi="仿宋" w:eastAsia="仿宋" w:cs="仿宋"/>
                <w:b/>
                <w:bCs/>
                <w:szCs w:val="22"/>
              </w:rPr>
              <w:t>同时提供社会保障部门出具的最近三年（自2021年-2024年）在本单位连续缴纳社会养老保险的缴费清单，可提供官网打印的具有二维码或验证码的缴费清单，以上未提供不予得分。</w:t>
            </w:r>
            <w:r>
              <w:rPr>
                <w:rFonts w:hint="eastAsia" w:ascii="仿宋" w:hAnsi="仿宋" w:eastAsia="仿宋" w:cs="仿宋"/>
                <w:b/>
              </w:rPr>
              <w:t>人员以表格的形式列出，提供的证件不完整或没有的不得分，原件带至现场备查。</w:t>
            </w:r>
          </w:p>
        </w:tc>
      </w:tr>
      <w:tr w14:paraId="3AF9A24E">
        <w:tblPrEx>
          <w:tblCellMar>
            <w:top w:w="0" w:type="dxa"/>
            <w:left w:w="108" w:type="dxa"/>
            <w:bottom w:w="0" w:type="dxa"/>
            <w:right w:w="108" w:type="dxa"/>
          </w:tblCellMar>
        </w:tblPrEx>
        <w:trPr>
          <w:trHeight w:val="90" w:hRule="atLeast"/>
          <w:jc w:val="center"/>
        </w:trPr>
        <w:tc>
          <w:tcPr>
            <w:tcW w:w="1463" w:type="dxa"/>
            <w:tcBorders>
              <w:left w:val="single" w:color="000000" w:sz="4" w:space="0"/>
              <w:right w:val="single" w:color="000000" w:sz="4" w:space="0"/>
            </w:tcBorders>
            <w:vAlign w:val="center"/>
          </w:tcPr>
          <w:p w14:paraId="5E58A745">
            <w:pPr>
              <w:pStyle w:val="14"/>
              <w:spacing w:line="360" w:lineRule="atLeast"/>
              <w:jc w:val="left"/>
              <w:rPr>
                <w:rFonts w:ascii="仿宋" w:hAnsi="仿宋" w:eastAsia="仿宋"/>
                <w:sz w:val="24"/>
                <w:szCs w:val="24"/>
              </w:rPr>
            </w:pPr>
          </w:p>
        </w:tc>
        <w:tc>
          <w:tcPr>
            <w:tcW w:w="1340" w:type="dxa"/>
            <w:gridSpan w:val="2"/>
            <w:tcBorders>
              <w:top w:val="single" w:color="000000" w:sz="4" w:space="0"/>
              <w:bottom w:val="single" w:color="000000" w:sz="4" w:space="0"/>
              <w:right w:val="single" w:color="000000" w:sz="4" w:space="0"/>
            </w:tcBorders>
            <w:vAlign w:val="center"/>
          </w:tcPr>
          <w:p w14:paraId="7B5CFFB3">
            <w:pPr>
              <w:rPr>
                <w:rFonts w:ascii="仿宋" w:hAnsi="仿宋" w:eastAsia="仿宋"/>
              </w:rPr>
            </w:pPr>
            <w:r>
              <w:rPr>
                <w:rFonts w:hint="eastAsia" w:ascii="仿宋" w:hAnsi="仿宋" w:eastAsia="仿宋"/>
              </w:rPr>
              <w:t>响应供应商现场答辩</w:t>
            </w:r>
          </w:p>
          <w:p w14:paraId="5DFC5AD1">
            <w:pPr>
              <w:rPr>
                <w:rFonts w:ascii="仿宋" w:hAnsi="仿宋" w:eastAsia="仿宋"/>
                <w:sz w:val="23"/>
                <w:szCs w:val="23"/>
              </w:rPr>
            </w:pPr>
            <w:r>
              <w:rPr>
                <w:rFonts w:hint="eastAsia" w:ascii="仿宋" w:hAnsi="仿宋" w:eastAsia="仿宋"/>
              </w:rPr>
              <w:t>（9分）</w:t>
            </w:r>
          </w:p>
        </w:tc>
        <w:tc>
          <w:tcPr>
            <w:tcW w:w="6727" w:type="dxa"/>
            <w:gridSpan w:val="2"/>
            <w:tcBorders>
              <w:top w:val="single" w:color="000000" w:sz="4" w:space="0"/>
              <w:bottom w:val="single" w:color="000000" w:sz="4" w:space="0"/>
              <w:right w:val="single" w:color="000000" w:sz="4" w:space="0"/>
            </w:tcBorders>
            <w:vAlign w:val="center"/>
          </w:tcPr>
          <w:p w14:paraId="43D0CC1D">
            <w:pPr>
              <w:jc w:val="left"/>
              <w:rPr>
                <w:rFonts w:ascii="仿宋" w:hAnsi="仿宋" w:eastAsia="仿宋" w:cs="仿宋"/>
              </w:rPr>
            </w:pPr>
            <w:r>
              <w:rPr>
                <w:rFonts w:hint="eastAsia" w:ascii="仿宋" w:hAnsi="仿宋" w:eastAsia="仿宋" w:cs="仿宋"/>
              </w:rPr>
              <w:t>1、现场答辩除对本单位的基本情况介绍外，对近三年(2021年1月起至今)做过的团检项目进行情况介绍，包括开展工作的方式、方案、取得的成效、用户的反馈。讲解时间不得超过5分钟。评标委员会根据现场答辩人员讲解以上内容讲解</w:t>
            </w:r>
            <w:r>
              <w:rPr>
                <w:rFonts w:hint="eastAsia" w:ascii="仿宋" w:hAnsi="仿宋" w:eastAsia="仿宋"/>
              </w:rPr>
              <w:t>语言表达能力表达</w:t>
            </w:r>
            <w:r>
              <w:rPr>
                <w:rFonts w:hint="eastAsia" w:ascii="仿宋" w:hAnsi="仿宋" w:eastAsia="仿宋" w:cs="仿宋"/>
              </w:rPr>
              <w:t>清晰</w:t>
            </w:r>
            <w:r>
              <w:rPr>
                <w:rFonts w:hint="eastAsia" w:ascii="仿宋" w:hAnsi="仿宋" w:eastAsia="仿宋"/>
              </w:rPr>
              <w:t>、简练、规范的得3-4分</w:t>
            </w:r>
            <w:r>
              <w:rPr>
                <w:rFonts w:hint="eastAsia" w:ascii="仿宋" w:hAnsi="仿宋" w:eastAsia="仿宋" w:cs="仿宋"/>
              </w:rPr>
              <w:t>；内容讲解</w:t>
            </w:r>
            <w:r>
              <w:rPr>
                <w:rFonts w:hint="eastAsia" w:ascii="仿宋" w:hAnsi="仿宋" w:eastAsia="仿宋"/>
              </w:rPr>
              <w:t>语言表达能力较清晰、简练、规范的得2-2.9分；有</w:t>
            </w:r>
            <w:r>
              <w:rPr>
                <w:rFonts w:hint="eastAsia" w:ascii="仿宋" w:hAnsi="仿宋" w:eastAsia="仿宋" w:cs="仿宋"/>
              </w:rPr>
              <w:t>内容讲解，</w:t>
            </w:r>
            <w:r>
              <w:rPr>
                <w:rFonts w:hint="eastAsia" w:ascii="仿宋" w:hAnsi="仿宋" w:eastAsia="仿宋"/>
              </w:rPr>
              <w:t>但不完整的得0-1.9分；</w:t>
            </w:r>
          </w:p>
          <w:p w14:paraId="605AB2BE">
            <w:pPr>
              <w:jc w:val="left"/>
              <w:rPr>
                <w:rFonts w:ascii="仿宋" w:hAnsi="仿宋" w:eastAsia="仿宋" w:cs="仿宋"/>
              </w:rPr>
            </w:pPr>
            <w:r>
              <w:rPr>
                <w:rFonts w:hint="eastAsia" w:ascii="仿宋" w:hAnsi="仿宋" w:eastAsia="仿宋" w:cs="仿宋"/>
              </w:rPr>
              <w:t>2、现场答辩人员对评标专家和用户针对本项目的服务需求提出的问题进行解答；</w:t>
            </w:r>
          </w:p>
          <w:p w14:paraId="4F70573E">
            <w:pPr>
              <w:jc w:val="left"/>
              <w:rPr>
                <w:rFonts w:ascii="仿宋" w:hAnsi="仿宋" w:eastAsia="仿宋"/>
                <w:sz w:val="23"/>
                <w:szCs w:val="23"/>
              </w:rPr>
            </w:pPr>
            <w:r>
              <w:rPr>
                <w:rFonts w:hint="eastAsia" w:ascii="仿宋" w:hAnsi="仿宋" w:eastAsia="仿宋" w:cs="仿宋"/>
              </w:rPr>
              <w:t>评标委员会根据现场解答情况进行比较后打分：评标委员会根据现场解答情况完整有针对性、合理性</w:t>
            </w:r>
            <w:r>
              <w:rPr>
                <w:rFonts w:hint="eastAsia" w:ascii="仿宋" w:hAnsi="仿宋" w:eastAsia="仿宋"/>
              </w:rPr>
              <w:t>的得3-5分</w:t>
            </w:r>
            <w:r>
              <w:rPr>
                <w:rFonts w:hint="eastAsia" w:ascii="仿宋" w:hAnsi="仿宋" w:eastAsia="仿宋" w:cs="仿宋"/>
              </w:rPr>
              <w:t>；解答较完整有针对性、合理性</w:t>
            </w:r>
            <w:r>
              <w:rPr>
                <w:rFonts w:hint="eastAsia" w:ascii="仿宋" w:hAnsi="仿宋" w:eastAsia="仿宋"/>
              </w:rPr>
              <w:t>的得2-2.9分；有</w:t>
            </w:r>
            <w:r>
              <w:rPr>
                <w:rFonts w:hint="eastAsia" w:ascii="仿宋" w:hAnsi="仿宋" w:eastAsia="仿宋" w:cs="仿宋"/>
              </w:rPr>
              <w:t>解答，</w:t>
            </w:r>
            <w:r>
              <w:rPr>
                <w:rFonts w:hint="eastAsia" w:ascii="仿宋" w:hAnsi="仿宋" w:eastAsia="仿宋"/>
              </w:rPr>
              <w:t>但不完整的得0-1.9分；</w:t>
            </w:r>
          </w:p>
        </w:tc>
      </w:tr>
      <w:tr w14:paraId="3C281C3B">
        <w:tblPrEx>
          <w:tblCellMar>
            <w:top w:w="0" w:type="dxa"/>
            <w:left w:w="108" w:type="dxa"/>
            <w:bottom w:w="0" w:type="dxa"/>
            <w:right w:w="108" w:type="dxa"/>
          </w:tblCellMar>
        </w:tblPrEx>
        <w:trPr>
          <w:trHeight w:val="712" w:hRule="atLeast"/>
          <w:jc w:val="center"/>
        </w:trPr>
        <w:tc>
          <w:tcPr>
            <w:tcW w:w="9530" w:type="dxa"/>
            <w:gridSpan w:val="5"/>
            <w:tcBorders>
              <w:top w:val="single" w:color="000000" w:sz="4" w:space="0"/>
              <w:left w:val="single" w:color="000000" w:sz="4" w:space="0"/>
              <w:bottom w:val="single" w:color="000000" w:sz="4" w:space="0"/>
              <w:right w:val="single" w:color="000000" w:sz="4" w:space="0"/>
            </w:tcBorders>
            <w:vAlign w:val="center"/>
          </w:tcPr>
          <w:p w14:paraId="624FDC8E">
            <w:pPr>
              <w:pStyle w:val="18"/>
              <w:snapToGrid w:val="0"/>
              <w:spacing w:line="360" w:lineRule="exact"/>
              <w:rPr>
                <w:rFonts w:ascii="仿宋" w:hAnsi="仿宋" w:eastAsia="仿宋"/>
                <w:b/>
                <w:bCs/>
                <w:sz w:val="24"/>
                <w:szCs w:val="24"/>
              </w:rPr>
            </w:pPr>
            <w:r>
              <w:rPr>
                <w:rFonts w:ascii="仿宋" w:hAnsi="仿宋" w:eastAsia="仿宋"/>
                <w:kern w:val="0"/>
                <w:sz w:val="24"/>
                <w:szCs w:val="24"/>
              </w:rPr>
              <w:t>注：</w:t>
            </w:r>
            <w:r>
              <w:rPr>
                <w:rFonts w:hint="eastAsia" w:ascii="仿宋" w:hAnsi="仿宋" w:eastAsia="仿宋"/>
                <w:kern w:val="0"/>
                <w:sz w:val="24"/>
                <w:szCs w:val="24"/>
              </w:rPr>
              <w:t>1、</w:t>
            </w:r>
            <w:r>
              <w:rPr>
                <w:rFonts w:ascii="仿宋" w:hAnsi="仿宋" w:eastAsia="仿宋"/>
                <w:kern w:val="0"/>
                <w:sz w:val="24"/>
                <w:szCs w:val="24"/>
              </w:rPr>
              <w:t>上述条款号2.2.2</w:t>
            </w:r>
            <w:r>
              <w:rPr>
                <w:rFonts w:ascii="仿宋" w:hAnsi="仿宋" w:eastAsia="仿宋"/>
                <w:b/>
                <w:bCs/>
                <w:kern w:val="0"/>
                <w:sz w:val="24"/>
                <w:szCs w:val="24"/>
              </w:rPr>
              <w:t>技术商务标的纸质响应所有材料需提供复印件并加盖单位公章，</w:t>
            </w:r>
            <w:r>
              <w:rPr>
                <w:rFonts w:ascii="仿宋" w:hAnsi="仿宋" w:eastAsia="仿宋"/>
                <w:b/>
                <w:bCs/>
                <w:sz w:val="24"/>
                <w:szCs w:val="24"/>
              </w:rPr>
              <w:t>证书及佐证材料原件带至现场备查。</w:t>
            </w:r>
          </w:p>
        </w:tc>
      </w:tr>
      <w:tr w14:paraId="58D53B04">
        <w:tblPrEx>
          <w:tblCellMar>
            <w:top w:w="0" w:type="dxa"/>
            <w:left w:w="108" w:type="dxa"/>
            <w:bottom w:w="0" w:type="dxa"/>
            <w:right w:w="108" w:type="dxa"/>
          </w:tblCellMar>
        </w:tblPrEx>
        <w:trPr>
          <w:trHeight w:val="622" w:hRule="atLeast"/>
          <w:jc w:val="center"/>
        </w:trPr>
        <w:tc>
          <w:tcPr>
            <w:tcW w:w="1463" w:type="dxa"/>
            <w:tcBorders>
              <w:top w:val="single" w:color="000000" w:sz="4" w:space="0"/>
              <w:left w:val="single" w:color="000000" w:sz="4" w:space="0"/>
              <w:bottom w:val="single" w:color="000000" w:sz="4" w:space="0"/>
              <w:right w:val="single" w:color="000000" w:sz="4" w:space="0"/>
            </w:tcBorders>
            <w:vAlign w:val="center"/>
          </w:tcPr>
          <w:p w14:paraId="02F38FAB">
            <w:pPr>
              <w:pStyle w:val="14"/>
              <w:spacing w:line="360" w:lineRule="atLeast"/>
              <w:jc w:val="center"/>
              <w:rPr>
                <w:rFonts w:ascii="仿宋" w:hAnsi="仿宋" w:eastAsia="仿宋"/>
                <w:kern w:val="0"/>
                <w:sz w:val="24"/>
                <w:szCs w:val="24"/>
              </w:rPr>
            </w:pPr>
            <w:r>
              <w:rPr>
                <w:rFonts w:ascii="仿宋" w:hAnsi="仿宋" w:eastAsia="仿宋"/>
                <w:kern w:val="0"/>
                <w:sz w:val="24"/>
                <w:szCs w:val="24"/>
              </w:rPr>
              <w:t>2.2.3</w:t>
            </w:r>
          </w:p>
          <w:p w14:paraId="4484FAB1">
            <w:pPr>
              <w:pStyle w:val="14"/>
              <w:spacing w:line="360" w:lineRule="atLeast"/>
              <w:rPr>
                <w:rFonts w:ascii="仿宋" w:hAnsi="仿宋" w:eastAsia="仿宋"/>
                <w:kern w:val="0"/>
                <w:sz w:val="24"/>
                <w:szCs w:val="24"/>
              </w:rPr>
            </w:pPr>
            <w:r>
              <w:rPr>
                <w:rFonts w:ascii="仿宋" w:hAnsi="仿宋" w:eastAsia="仿宋"/>
                <w:kern w:val="0"/>
                <w:sz w:val="24"/>
                <w:szCs w:val="24"/>
              </w:rPr>
              <w:t>报价标</w:t>
            </w:r>
          </w:p>
          <w:p w14:paraId="1BDCE24D">
            <w:pPr>
              <w:pStyle w:val="14"/>
              <w:spacing w:line="360" w:lineRule="atLeast"/>
              <w:jc w:val="center"/>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2</w:t>
            </w:r>
            <w:r>
              <w:rPr>
                <w:rFonts w:ascii="仿宋" w:hAnsi="仿宋" w:eastAsia="仿宋"/>
                <w:kern w:val="0"/>
                <w:sz w:val="24"/>
                <w:szCs w:val="24"/>
              </w:rPr>
              <w:t>0</w:t>
            </w:r>
            <w:r>
              <w:rPr>
                <w:rFonts w:hint="eastAsia" w:ascii="仿宋" w:hAnsi="仿宋" w:eastAsia="仿宋"/>
                <w:kern w:val="0"/>
                <w:sz w:val="24"/>
                <w:szCs w:val="24"/>
              </w:rPr>
              <w:t>）</w:t>
            </w:r>
            <w:r>
              <w:rPr>
                <w:rFonts w:ascii="仿宋" w:hAnsi="仿宋" w:eastAsia="仿宋"/>
                <w:vanish/>
                <w:kern w:val="0"/>
                <w:sz w:val="24"/>
                <w:szCs w:val="24"/>
              </w:rPr>
              <w:t>五条济技术开发区精密机械产业园土壤环境场地调查服务项目分）</w:t>
            </w:r>
          </w:p>
        </w:tc>
        <w:tc>
          <w:tcPr>
            <w:tcW w:w="1340" w:type="dxa"/>
            <w:gridSpan w:val="2"/>
            <w:tcBorders>
              <w:top w:val="single" w:color="000000" w:sz="4" w:space="0"/>
              <w:bottom w:val="single" w:color="000000" w:sz="4" w:space="0"/>
              <w:right w:val="single" w:color="000000" w:sz="4" w:space="0"/>
            </w:tcBorders>
            <w:vAlign w:val="center"/>
          </w:tcPr>
          <w:p w14:paraId="23B749B0">
            <w:pPr>
              <w:pStyle w:val="14"/>
              <w:spacing w:line="360" w:lineRule="atLeast"/>
              <w:jc w:val="center"/>
              <w:rPr>
                <w:rFonts w:ascii="仿宋" w:hAnsi="仿宋" w:eastAsia="仿宋"/>
                <w:kern w:val="0"/>
                <w:sz w:val="24"/>
                <w:szCs w:val="24"/>
              </w:rPr>
            </w:pPr>
            <w:r>
              <w:rPr>
                <w:rFonts w:ascii="仿宋" w:hAnsi="仿宋" w:eastAsia="仿宋"/>
                <w:kern w:val="0"/>
                <w:sz w:val="24"/>
                <w:szCs w:val="24"/>
              </w:rPr>
              <w:t>磋商基准价</w:t>
            </w:r>
          </w:p>
        </w:tc>
        <w:tc>
          <w:tcPr>
            <w:tcW w:w="6727" w:type="dxa"/>
            <w:gridSpan w:val="2"/>
            <w:tcBorders>
              <w:top w:val="single" w:color="000000" w:sz="4" w:space="0"/>
              <w:bottom w:val="single" w:color="000000" w:sz="4" w:space="0"/>
              <w:right w:val="single" w:color="000000" w:sz="4" w:space="0"/>
            </w:tcBorders>
            <w:vAlign w:val="center"/>
          </w:tcPr>
          <w:p w14:paraId="32879BA2">
            <w:pPr>
              <w:pStyle w:val="14"/>
              <w:spacing w:line="360" w:lineRule="atLeast"/>
              <w:rPr>
                <w:rFonts w:ascii="仿宋" w:hAnsi="仿宋" w:eastAsia="仿宋"/>
                <w:sz w:val="24"/>
                <w:szCs w:val="24"/>
              </w:rPr>
            </w:pPr>
            <w:r>
              <w:rPr>
                <w:rFonts w:ascii="仿宋" w:hAnsi="仿宋" w:eastAsia="仿宋"/>
                <w:sz w:val="24"/>
                <w:szCs w:val="24"/>
              </w:rPr>
              <w:t>满足磋商文件要求且响应价格最低的响应报价为评标基准价，其价格分为满分（</w:t>
            </w:r>
            <w:r>
              <w:rPr>
                <w:rFonts w:hint="eastAsia" w:ascii="仿宋" w:hAnsi="仿宋" w:eastAsia="仿宋"/>
                <w:sz w:val="24"/>
                <w:szCs w:val="24"/>
              </w:rPr>
              <w:t>2</w:t>
            </w:r>
            <w:r>
              <w:rPr>
                <w:rFonts w:ascii="仿宋" w:hAnsi="仿宋" w:eastAsia="仿宋"/>
                <w:sz w:val="24"/>
                <w:szCs w:val="24"/>
              </w:rPr>
              <w:t>0分），其他磋商供应商的价格分统一按照下列公式计算：</w:t>
            </w:r>
          </w:p>
          <w:p w14:paraId="7CAB3647">
            <w:pPr>
              <w:pStyle w:val="14"/>
              <w:spacing w:line="360" w:lineRule="atLeast"/>
              <w:rPr>
                <w:rFonts w:ascii="仿宋" w:hAnsi="仿宋" w:eastAsia="仿宋"/>
                <w:sz w:val="24"/>
                <w:szCs w:val="24"/>
              </w:rPr>
            </w:pPr>
            <w:r>
              <w:rPr>
                <w:rFonts w:ascii="仿宋" w:hAnsi="仿宋" w:eastAsia="仿宋"/>
                <w:sz w:val="24"/>
                <w:szCs w:val="24"/>
              </w:rPr>
              <w:t>响应报价得分=(响应评标基准价／响应报价)×</w:t>
            </w:r>
            <w:r>
              <w:rPr>
                <w:rFonts w:hint="eastAsia" w:ascii="仿宋" w:hAnsi="仿宋" w:eastAsia="仿宋"/>
                <w:sz w:val="24"/>
                <w:szCs w:val="24"/>
              </w:rPr>
              <w:t>2</w:t>
            </w:r>
            <w:r>
              <w:rPr>
                <w:rFonts w:ascii="仿宋" w:hAnsi="仿宋" w:eastAsia="仿宋"/>
                <w:sz w:val="24"/>
                <w:szCs w:val="24"/>
              </w:rPr>
              <w:t>0%*100</w:t>
            </w:r>
          </w:p>
        </w:tc>
      </w:tr>
    </w:tbl>
    <w:p w14:paraId="7897DE47">
      <w:pPr>
        <w:pStyle w:val="14"/>
        <w:rPr>
          <w:rFonts w:ascii="仿宋" w:hAnsi="仿宋" w:eastAsia="仿宋"/>
          <w:b/>
          <w:bCs/>
          <w:sz w:val="23"/>
          <w:szCs w:val="23"/>
        </w:rPr>
      </w:pPr>
      <w:r>
        <w:rPr>
          <w:rFonts w:ascii="仿宋" w:hAnsi="仿宋" w:eastAsia="仿宋"/>
          <w:b/>
          <w:bCs/>
          <w:sz w:val="23"/>
          <w:szCs w:val="23"/>
        </w:rPr>
        <w:t xml:space="preserve"> </w:t>
      </w:r>
    </w:p>
    <w:p w14:paraId="4F9A315E">
      <w:pPr>
        <w:pStyle w:val="14"/>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w:t>
      </w:r>
      <w:r>
        <w:rPr>
          <w:rFonts w:ascii="仿宋" w:hAnsi="仿宋" w:eastAsia="仿宋"/>
          <w:sz w:val="24"/>
          <w:szCs w:val="24"/>
        </w:rPr>
        <w:t>、未尽事宜由评标委员会决定。</w:t>
      </w:r>
    </w:p>
    <w:p w14:paraId="047205F1">
      <w:pPr>
        <w:pStyle w:val="20"/>
        <w:rPr>
          <w:rFonts w:ascii="仿宋" w:hAnsi="仿宋" w:eastAsia="仿宋"/>
          <w:kern w:val="0"/>
          <w:sz w:val="21"/>
          <w:szCs w:val="21"/>
        </w:rPr>
      </w:pPr>
    </w:p>
    <w:p w14:paraId="200E4EDF">
      <w:pPr>
        <w:widowControl/>
        <w:jc w:val="left"/>
        <w:rPr>
          <w:rFonts w:ascii="仿宋" w:hAnsi="仿宋" w:eastAsia="仿宋"/>
          <w:b/>
          <w:bCs/>
          <w:kern w:val="2"/>
          <w:sz w:val="32"/>
          <w:szCs w:val="32"/>
          <w:lang w:bidi="ar-SA"/>
        </w:rPr>
      </w:pPr>
      <w:r>
        <w:rPr>
          <w:rFonts w:ascii="仿宋" w:hAnsi="仿宋" w:eastAsia="仿宋"/>
          <w:b/>
          <w:bCs/>
          <w:sz w:val="32"/>
          <w:szCs w:val="32"/>
        </w:rPr>
        <w:br w:type="page"/>
      </w:r>
    </w:p>
    <w:p w14:paraId="170CE5F4">
      <w:pPr>
        <w:pStyle w:val="20"/>
        <w:rPr>
          <w:rFonts w:ascii="仿宋" w:hAnsi="仿宋" w:eastAsia="仿宋"/>
          <w:b/>
          <w:bCs/>
          <w:sz w:val="24"/>
          <w:szCs w:val="24"/>
        </w:rPr>
      </w:pPr>
      <w:r>
        <w:rPr>
          <w:rFonts w:ascii="仿宋" w:hAnsi="仿宋" w:eastAsia="仿宋"/>
          <w:b/>
          <w:bCs/>
          <w:sz w:val="32"/>
          <w:szCs w:val="32"/>
        </w:rPr>
        <w:t>第七章</w:t>
      </w:r>
      <w:r>
        <w:rPr>
          <w:rFonts w:hint="eastAsia" w:ascii="仿宋" w:hAnsi="仿宋" w:eastAsia="仿宋"/>
          <w:b/>
          <w:bCs/>
          <w:sz w:val="32"/>
          <w:szCs w:val="32"/>
        </w:rPr>
        <w:t xml:space="preserve"> </w:t>
      </w:r>
      <w:r>
        <w:rPr>
          <w:rFonts w:ascii="仿宋" w:hAnsi="仿宋" w:eastAsia="仿宋"/>
          <w:b/>
          <w:bCs/>
          <w:sz w:val="32"/>
          <w:szCs w:val="32"/>
        </w:rPr>
        <w:t>竞争性供应商响应文件组成</w:t>
      </w:r>
    </w:p>
    <w:p w14:paraId="03BC803A">
      <w:pPr>
        <w:pStyle w:val="14"/>
        <w:spacing w:line="360" w:lineRule="auto"/>
        <w:rPr>
          <w:rFonts w:ascii="仿宋" w:hAnsi="仿宋" w:eastAsia="仿宋"/>
          <w:sz w:val="24"/>
          <w:szCs w:val="24"/>
        </w:rPr>
      </w:pPr>
      <w:r>
        <w:rPr>
          <w:rFonts w:ascii="仿宋" w:hAnsi="仿宋" w:eastAsia="仿宋"/>
          <w:sz w:val="24"/>
          <w:szCs w:val="24"/>
        </w:rPr>
        <w:t xml:space="preserve"> </w:t>
      </w:r>
    </w:p>
    <w:p w14:paraId="14BF4983">
      <w:pPr>
        <w:pStyle w:val="24"/>
        <w:spacing w:line="360" w:lineRule="auto"/>
        <w:jc w:val="center"/>
        <w:rPr>
          <w:rFonts w:ascii="仿宋" w:hAnsi="仿宋" w:eastAsia="仿宋"/>
          <w:sz w:val="28"/>
          <w:szCs w:val="28"/>
        </w:rPr>
      </w:pPr>
      <w:r>
        <w:rPr>
          <w:rFonts w:ascii="仿宋" w:hAnsi="仿宋" w:eastAsia="仿宋"/>
          <w:sz w:val="28"/>
          <w:szCs w:val="28"/>
        </w:rPr>
        <w:t>封面</w:t>
      </w:r>
    </w:p>
    <w:p w14:paraId="2B0E5E07">
      <w:pPr>
        <w:pStyle w:val="14"/>
        <w:spacing w:line="360" w:lineRule="auto"/>
        <w:jc w:val="center"/>
        <w:rPr>
          <w:rFonts w:ascii="仿宋" w:hAnsi="仿宋" w:eastAsia="仿宋"/>
          <w:b/>
          <w:bCs/>
          <w:sz w:val="28"/>
          <w:szCs w:val="28"/>
        </w:rPr>
      </w:pPr>
      <w:r>
        <w:rPr>
          <w:rFonts w:ascii="仿宋" w:hAnsi="仿宋" w:eastAsia="仿宋"/>
          <w:b/>
          <w:bCs/>
          <w:sz w:val="28"/>
          <w:szCs w:val="28"/>
        </w:rPr>
        <w:t>竞争性供应商响应文件</w:t>
      </w:r>
    </w:p>
    <w:p w14:paraId="5AA77D72">
      <w:pPr>
        <w:pStyle w:val="14"/>
        <w:spacing w:line="360" w:lineRule="auto"/>
        <w:jc w:val="left"/>
        <w:rPr>
          <w:rFonts w:ascii="仿宋" w:hAnsi="仿宋" w:eastAsia="仿宋"/>
          <w:b/>
          <w:bCs/>
          <w:kern w:val="0"/>
          <w:sz w:val="24"/>
          <w:szCs w:val="24"/>
        </w:rPr>
      </w:pPr>
      <w:r>
        <w:rPr>
          <w:rFonts w:ascii="仿宋" w:hAnsi="仿宋" w:eastAsia="仿宋"/>
          <w:b/>
          <w:bCs/>
          <w:kern w:val="0"/>
          <w:sz w:val="24"/>
          <w:szCs w:val="24"/>
        </w:rPr>
        <w:t xml:space="preserve"> </w:t>
      </w:r>
    </w:p>
    <w:p w14:paraId="0826B972">
      <w:pPr>
        <w:pStyle w:val="19"/>
        <w:ind w:firstLine="0"/>
        <w:jc w:val="center"/>
        <w:rPr>
          <w:rFonts w:ascii="仿宋" w:hAnsi="仿宋" w:eastAsia="仿宋"/>
          <w:b/>
          <w:bCs/>
          <w:sz w:val="28"/>
          <w:szCs w:val="28"/>
        </w:rPr>
      </w:pPr>
      <w:r>
        <w:rPr>
          <w:rFonts w:ascii="仿宋" w:hAnsi="仿宋" w:eastAsia="仿宋"/>
          <w:sz w:val="28"/>
          <w:szCs w:val="28"/>
          <w:u w:val="single"/>
        </w:rPr>
        <w:t>资格证明材料包/技术</w:t>
      </w:r>
      <w:r>
        <w:rPr>
          <w:rFonts w:hint="eastAsia" w:ascii="仿宋" w:hAnsi="仿宋" w:eastAsia="仿宋"/>
          <w:sz w:val="28"/>
          <w:szCs w:val="28"/>
          <w:u w:val="single"/>
        </w:rPr>
        <w:t>响应</w:t>
      </w:r>
      <w:r>
        <w:rPr>
          <w:rFonts w:ascii="仿宋" w:hAnsi="仿宋" w:eastAsia="仿宋"/>
          <w:sz w:val="28"/>
          <w:szCs w:val="28"/>
          <w:u w:val="single"/>
        </w:rPr>
        <w:t>包/报价</w:t>
      </w:r>
      <w:r>
        <w:rPr>
          <w:rFonts w:hint="eastAsia" w:ascii="仿宋" w:hAnsi="仿宋" w:eastAsia="仿宋"/>
          <w:sz w:val="28"/>
          <w:szCs w:val="28"/>
          <w:u w:val="single"/>
        </w:rPr>
        <w:t>响应</w:t>
      </w:r>
      <w:r>
        <w:rPr>
          <w:rFonts w:ascii="仿宋" w:hAnsi="仿宋" w:eastAsia="仿宋"/>
          <w:sz w:val="28"/>
          <w:szCs w:val="28"/>
          <w:u w:val="single"/>
        </w:rPr>
        <w:t>包</w:t>
      </w:r>
    </w:p>
    <w:p w14:paraId="6F641DE6">
      <w:pPr>
        <w:pStyle w:val="14"/>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w:t>
      </w:r>
    </w:p>
    <w:p w14:paraId="4F0A50F7">
      <w:pPr>
        <w:pStyle w:val="14"/>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w:t>
      </w:r>
    </w:p>
    <w:p w14:paraId="18F6264E">
      <w:pPr>
        <w:pStyle w:val="14"/>
        <w:spacing w:line="360" w:lineRule="auto"/>
        <w:rPr>
          <w:rFonts w:ascii="仿宋" w:hAnsi="仿宋" w:eastAsia="仿宋"/>
          <w:b/>
          <w:bCs/>
          <w:sz w:val="28"/>
          <w:szCs w:val="28"/>
        </w:rPr>
      </w:pPr>
      <w:r>
        <w:rPr>
          <w:rFonts w:ascii="仿宋" w:hAnsi="仿宋" w:eastAsia="仿宋"/>
          <w:b/>
          <w:bCs/>
          <w:sz w:val="28"/>
          <w:szCs w:val="28"/>
        </w:rPr>
        <w:t xml:space="preserve"> </w:t>
      </w:r>
    </w:p>
    <w:p w14:paraId="13E7D60F">
      <w:pPr>
        <w:pStyle w:val="14"/>
        <w:spacing w:line="360" w:lineRule="auto"/>
        <w:rPr>
          <w:rFonts w:ascii="仿宋" w:hAnsi="仿宋" w:eastAsia="仿宋"/>
          <w:b/>
          <w:bCs/>
          <w:sz w:val="28"/>
          <w:szCs w:val="28"/>
        </w:rPr>
      </w:pPr>
      <w:r>
        <w:rPr>
          <w:rFonts w:ascii="仿宋" w:hAnsi="仿宋" w:eastAsia="仿宋"/>
          <w:b/>
          <w:bCs/>
          <w:sz w:val="28"/>
          <w:szCs w:val="28"/>
        </w:rPr>
        <w:t xml:space="preserve"> </w:t>
      </w:r>
    </w:p>
    <w:p w14:paraId="4B60BA5D">
      <w:pPr>
        <w:pStyle w:val="14"/>
        <w:spacing w:line="360" w:lineRule="auto"/>
        <w:rPr>
          <w:rFonts w:ascii="仿宋" w:hAnsi="仿宋" w:eastAsia="仿宋"/>
          <w:b/>
          <w:bCs/>
          <w:sz w:val="28"/>
          <w:szCs w:val="28"/>
        </w:rPr>
      </w:pPr>
      <w:r>
        <w:rPr>
          <w:rFonts w:ascii="仿宋" w:hAnsi="仿宋" w:eastAsia="仿宋"/>
          <w:b/>
          <w:bCs/>
          <w:sz w:val="28"/>
          <w:szCs w:val="28"/>
        </w:rPr>
        <w:t>项目名称：</w:t>
      </w:r>
    </w:p>
    <w:p w14:paraId="0B3B9C6A">
      <w:pPr>
        <w:pStyle w:val="14"/>
        <w:spacing w:line="360" w:lineRule="auto"/>
        <w:rPr>
          <w:rFonts w:ascii="仿宋" w:hAnsi="仿宋" w:eastAsia="仿宋"/>
          <w:b/>
          <w:bCs/>
          <w:sz w:val="28"/>
          <w:szCs w:val="28"/>
          <w:u w:val="single"/>
        </w:rPr>
      </w:pPr>
      <w:r>
        <w:rPr>
          <w:rFonts w:ascii="仿宋" w:hAnsi="仿宋" w:eastAsia="仿宋"/>
          <w:b/>
          <w:bCs/>
          <w:sz w:val="28"/>
          <w:szCs w:val="28"/>
        </w:rPr>
        <w:t>项目编号：</w:t>
      </w:r>
    </w:p>
    <w:p w14:paraId="6DD838CD">
      <w:pPr>
        <w:pStyle w:val="14"/>
        <w:spacing w:line="360" w:lineRule="auto"/>
        <w:rPr>
          <w:rFonts w:ascii="仿宋" w:hAnsi="仿宋" w:eastAsia="仿宋"/>
          <w:b/>
          <w:bCs/>
          <w:sz w:val="28"/>
          <w:szCs w:val="28"/>
        </w:rPr>
      </w:pPr>
      <w:r>
        <w:rPr>
          <w:rFonts w:ascii="仿宋" w:hAnsi="仿宋" w:eastAsia="仿宋"/>
          <w:b/>
          <w:bCs/>
          <w:sz w:val="28"/>
          <w:szCs w:val="28"/>
        </w:rPr>
        <w:t>磋商供应商名称：</w:t>
      </w:r>
    </w:p>
    <w:p w14:paraId="7AA80CA6">
      <w:pPr>
        <w:pStyle w:val="14"/>
        <w:spacing w:line="360" w:lineRule="auto"/>
        <w:rPr>
          <w:rFonts w:ascii="仿宋" w:hAnsi="仿宋" w:eastAsia="仿宋"/>
          <w:b/>
          <w:bCs/>
          <w:sz w:val="28"/>
          <w:szCs w:val="28"/>
        </w:rPr>
      </w:pPr>
      <w:r>
        <w:rPr>
          <w:rFonts w:ascii="仿宋" w:hAnsi="仿宋" w:eastAsia="仿宋"/>
          <w:b/>
          <w:bCs/>
          <w:sz w:val="28"/>
          <w:szCs w:val="28"/>
        </w:rPr>
        <w:t>日期：</w:t>
      </w:r>
    </w:p>
    <w:p w14:paraId="3B6583A7">
      <w:pPr>
        <w:pStyle w:val="19"/>
        <w:ind w:firstLine="0"/>
        <w:rPr>
          <w:rFonts w:ascii="仿宋" w:hAnsi="仿宋" w:eastAsia="仿宋"/>
          <w:kern w:val="2"/>
        </w:rPr>
      </w:pPr>
      <w:r>
        <w:rPr>
          <w:rFonts w:ascii="仿宋" w:hAnsi="仿宋" w:eastAsia="仿宋"/>
          <w:kern w:val="2"/>
        </w:rPr>
        <w:t xml:space="preserve"> </w:t>
      </w:r>
    </w:p>
    <w:p w14:paraId="74EE3680">
      <w:pPr>
        <w:pStyle w:val="19"/>
        <w:ind w:firstLine="0"/>
        <w:rPr>
          <w:rFonts w:ascii="仿宋" w:hAnsi="仿宋" w:eastAsia="仿宋"/>
          <w:kern w:val="2"/>
        </w:rPr>
      </w:pPr>
      <w:r>
        <w:rPr>
          <w:rFonts w:ascii="仿宋" w:hAnsi="仿宋" w:eastAsia="仿宋"/>
          <w:kern w:val="2"/>
        </w:rPr>
        <w:t xml:space="preserve"> </w:t>
      </w:r>
    </w:p>
    <w:p w14:paraId="6AD7AD31">
      <w:pPr>
        <w:pStyle w:val="14"/>
        <w:snapToGrid w:val="0"/>
        <w:spacing w:line="360" w:lineRule="auto"/>
        <w:jc w:val="center"/>
        <w:outlineLvl w:val="0"/>
        <w:rPr>
          <w:rFonts w:ascii="仿宋" w:hAnsi="仿宋" w:eastAsia="仿宋"/>
          <w:sz w:val="24"/>
          <w:szCs w:val="24"/>
        </w:rPr>
      </w:pPr>
      <w:r>
        <w:rPr>
          <w:rFonts w:ascii="仿宋" w:hAnsi="仿宋" w:eastAsia="仿宋"/>
          <w:sz w:val="24"/>
          <w:szCs w:val="24"/>
        </w:rPr>
        <w:t xml:space="preserve"> </w:t>
      </w:r>
    </w:p>
    <w:p w14:paraId="1F9FE3D3">
      <w:pPr>
        <w:pStyle w:val="14"/>
        <w:snapToGrid w:val="0"/>
        <w:spacing w:line="360" w:lineRule="auto"/>
        <w:jc w:val="center"/>
        <w:outlineLvl w:val="0"/>
        <w:rPr>
          <w:rFonts w:ascii="仿宋" w:hAnsi="仿宋" w:eastAsia="仿宋"/>
          <w:sz w:val="24"/>
          <w:szCs w:val="24"/>
        </w:rPr>
      </w:pPr>
      <w:r>
        <w:rPr>
          <w:rFonts w:ascii="仿宋" w:hAnsi="仿宋" w:eastAsia="仿宋"/>
          <w:sz w:val="24"/>
          <w:szCs w:val="24"/>
        </w:rPr>
        <w:t xml:space="preserve"> </w:t>
      </w:r>
    </w:p>
    <w:p w14:paraId="4F4593C9">
      <w:pPr>
        <w:pStyle w:val="14"/>
        <w:snapToGrid w:val="0"/>
        <w:spacing w:line="360" w:lineRule="auto"/>
        <w:jc w:val="center"/>
        <w:outlineLvl w:val="0"/>
        <w:rPr>
          <w:rFonts w:ascii="仿宋" w:hAnsi="仿宋" w:eastAsia="仿宋"/>
          <w:sz w:val="24"/>
          <w:szCs w:val="24"/>
        </w:rPr>
      </w:pPr>
      <w:r>
        <w:rPr>
          <w:rFonts w:ascii="仿宋" w:hAnsi="仿宋" w:eastAsia="仿宋"/>
          <w:sz w:val="24"/>
          <w:szCs w:val="24"/>
        </w:rPr>
        <w:t xml:space="preserve"> </w:t>
      </w:r>
    </w:p>
    <w:p w14:paraId="5C40246A">
      <w:pPr>
        <w:pStyle w:val="15"/>
        <w:rPr>
          <w:rFonts w:ascii="仿宋" w:hAnsi="仿宋" w:eastAsia="仿宋"/>
          <w:sz w:val="24"/>
          <w:szCs w:val="24"/>
        </w:rPr>
      </w:pPr>
      <w:r>
        <w:rPr>
          <w:rFonts w:ascii="仿宋" w:hAnsi="仿宋" w:eastAsia="仿宋"/>
          <w:sz w:val="24"/>
          <w:szCs w:val="24"/>
        </w:rPr>
        <w:t xml:space="preserve"> </w:t>
      </w:r>
    </w:p>
    <w:p w14:paraId="09CF49CD">
      <w:pPr>
        <w:pStyle w:val="14"/>
        <w:snapToGrid w:val="0"/>
        <w:spacing w:line="360" w:lineRule="auto"/>
        <w:outlineLvl w:val="0"/>
        <w:rPr>
          <w:rFonts w:ascii="仿宋" w:hAnsi="仿宋" w:eastAsia="仿宋"/>
          <w:sz w:val="28"/>
          <w:szCs w:val="28"/>
        </w:rPr>
      </w:pPr>
      <w:r>
        <w:rPr>
          <w:rFonts w:ascii="仿宋" w:hAnsi="仿宋" w:eastAsia="仿宋"/>
          <w:sz w:val="28"/>
          <w:szCs w:val="28"/>
        </w:rPr>
        <w:t xml:space="preserve"> </w:t>
      </w:r>
    </w:p>
    <w:p w14:paraId="5C9CE9E5">
      <w:pPr>
        <w:pStyle w:val="14"/>
        <w:snapToGrid w:val="0"/>
        <w:spacing w:line="360" w:lineRule="auto"/>
        <w:outlineLvl w:val="0"/>
        <w:rPr>
          <w:rFonts w:ascii="仿宋" w:hAnsi="仿宋" w:eastAsia="仿宋"/>
          <w:sz w:val="28"/>
          <w:szCs w:val="28"/>
        </w:rPr>
      </w:pPr>
      <w:r>
        <w:rPr>
          <w:rFonts w:ascii="仿宋" w:hAnsi="仿宋" w:eastAsia="仿宋"/>
          <w:sz w:val="28"/>
          <w:szCs w:val="28"/>
        </w:rPr>
        <w:t xml:space="preserve"> </w:t>
      </w:r>
    </w:p>
    <w:p w14:paraId="65429A39">
      <w:pPr>
        <w:pStyle w:val="15"/>
      </w:pPr>
    </w:p>
    <w:p w14:paraId="12488F13">
      <w:pPr>
        <w:pStyle w:val="14"/>
        <w:snapToGrid w:val="0"/>
        <w:spacing w:line="360" w:lineRule="auto"/>
        <w:jc w:val="center"/>
        <w:outlineLvl w:val="0"/>
        <w:rPr>
          <w:rFonts w:ascii="仿宋" w:hAnsi="仿宋" w:eastAsia="仿宋"/>
          <w:b/>
          <w:bCs/>
          <w:sz w:val="28"/>
          <w:szCs w:val="28"/>
        </w:rPr>
      </w:pPr>
      <w:r>
        <w:rPr>
          <w:rFonts w:ascii="仿宋" w:hAnsi="仿宋" w:eastAsia="仿宋"/>
          <w:b/>
          <w:bCs/>
          <w:sz w:val="28"/>
          <w:szCs w:val="28"/>
        </w:rPr>
        <w:t>第一部分</w:t>
      </w:r>
      <w:r>
        <w:rPr>
          <w:rFonts w:hint="eastAsia" w:ascii="仿宋" w:hAnsi="仿宋" w:eastAsia="仿宋"/>
          <w:b/>
          <w:bCs/>
          <w:sz w:val="28"/>
          <w:szCs w:val="28"/>
        </w:rPr>
        <w:t xml:space="preserve"> </w:t>
      </w:r>
      <w:r>
        <w:rPr>
          <w:rFonts w:ascii="仿宋" w:hAnsi="仿宋" w:eastAsia="仿宋"/>
          <w:b/>
          <w:bCs/>
          <w:sz w:val="28"/>
          <w:szCs w:val="28"/>
        </w:rPr>
        <w:t>资格审查材料内容</w:t>
      </w:r>
    </w:p>
    <w:p w14:paraId="64B172ED">
      <w:pPr>
        <w:pStyle w:val="14"/>
        <w:autoSpaceDE w:val="0"/>
        <w:autoSpaceDN w:val="0"/>
        <w:spacing w:line="360" w:lineRule="auto"/>
        <w:jc w:val="center"/>
        <w:rPr>
          <w:rFonts w:ascii="仿宋" w:hAnsi="仿宋" w:eastAsia="仿宋"/>
          <w:b/>
          <w:bCs/>
          <w:sz w:val="24"/>
          <w:szCs w:val="24"/>
        </w:rPr>
      </w:pPr>
      <w:r>
        <w:rPr>
          <w:rFonts w:ascii="仿宋" w:hAnsi="仿宋" w:eastAsia="仿宋"/>
          <w:b/>
          <w:bCs/>
          <w:sz w:val="24"/>
          <w:szCs w:val="24"/>
        </w:rPr>
        <w:t>目录</w:t>
      </w:r>
    </w:p>
    <w:tbl>
      <w:tblPr>
        <w:tblStyle w:val="12"/>
        <w:tblW w:w="10010" w:type="dxa"/>
        <w:tblInd w:w="-688" w:type="dxa"/>
        <w:tblLayout w:type="fixed"/>
        <w:tblCellMar>
          <w:top w:w="0" w:type="dxa"/>
          <w:left w:w="108" w:type="dxa"/>
          <w:bottom w:w="0" w:type="dxa"/>
          <w:right w:w="108" w:type="dxa"/>
        </w:tblCellMar>
      </w:tblPr>
      <w:tblGrid>
        <w:gridCol w:w="900"/>
        <w:gridCol w:w="6800"/>
        <w:gridCol w:w="2310"/>
      </w:tblGrid>
      <w:tr w14:paraId="02E88437">
        <w:tblPrEx>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0F5B28FB">
            <w:pPr>
              <w:pStyle w:val="14"/>
              <w:spacing w:line="360" w:lineRule="auto"/>
              <w:jc w:val="center"/>
              <w:rPr>
                <w:rFonts w:ascii="仿宋" w:hAnsi="仿宋" w:eastAsia="仿宋"/>
                <w:kern w:val="0"/>
                <w:sz w:val="24"/>
                <w:szCs w:val="24"/>
              </w:rPr>
            </w:pPr>
            <w:r>
              <w:rPr>
                <w:rFonts w:ascii="仿宋" w:hAnsi="仿宋" w:eastAsia="仿宋"/>
                <w:kern w:val="0"/>
                <w:sz w:val="24"/>
                <w:szCs w:val="24"/>
              </w:rPr>
              <w:t>序号</w:t>
            </w:r>
          </w:p>
        </w:tc>
        <w:tc>
          <w:tcPr>
            <w:tcW w:w="6800" w:type="dxa"/>
            <w:tcBorders>
              <w:top w:val="single" w:color="000000" w:sz="4" w:space="0"/>
              <w:bottom w:val="single" w:color="000000" w:sz="4" w:space="0"/>
              <w:right w:val="single" w:color="000000" w:sz="4" w:space="0"/>
            </w:tcBorders>
            <w:vAlign w:val="center"/>
          </w:tcPr>
          <w:p w14:paraId="0E0A0EEA">
            <w:pPr>
              <w:pStyle w:val="14"/>
              <w:spacing w:line="360" w:lineRule="auto"/>
              <w:jc w:val="center"/>
              <w:rPr>
                <w:rFonts w:ascii="仿宋" w:hAnsi="仿宋" w:eastAsia="仿宋"/>
                <w:kern w:val="0"/>
                <w:sz w:val="24"/>
                <w:szCs w:val="24"/>
              </w:rPr>
            </w:pPr>
            <w:r>
              <w:rPr>
                <w:rFonts w:ascii="仿宋" w:hAnsi="仿宋" w:eastAsia="仿宋"/>
                <w:kern w:val="0"/>
                <w:sz w:val="24"/>
                <w:szCs w:val="24"/>
              </w:rPr>
              <w:t>材料明细</w:t>
            </w:r>
          </w:p>
        </w:tc>
        <w:tc>
          <w:tcPr>
            <w:tcW w:w="2310" w:type="dxa"/>
            <w:tcBorders>
              <w:top w:val="single" w:color="000000" w:sz="4" w:space="0"/>
              <w:bottom w:val="single" w:color="000000" w:sz="4" w:space="0"/>
              <w:right w:val="single" w:color="000000" w:sz="4" w:space="0"/>
            </w:tcBorders>
            <w:vAlign w:val="center"/>
          </w:tcPr>
          <w:p w14:paraId="6765D2FE">
            <w:pPr>
              <w:pStyle w:val="14"/>
              <w:spacing w:line="360" w:lineRule="auto"/>
              <w:jc w:val="left"/>
              <w:rPr>
                <w:rFonts w:ascii="仿宋" w:hAnsi="仿宋" w:eastAsia="仿宋"/>
                <w:kern w:val="0"/>
                <w:sz w:val="24"/>
                <w:szCs w:val="24"/>
              </w:rPr>
            </w:pPr>
            <w:r>
              <w:rPr>
                <w:rFonts w:ascii="仿宋" w:hAnsi="仿宋" w:eastAsia="仿宋"/>
                <w:kern w:val="0"/>
                <w:sz w:val="24"/>
                <w:szCs w:val="24"/>
              </w:rPr>
              <w:t>是否符合（打√）</w:t>
            </w:r>
          </w:p>
        </w:tc>
      </w:tr>
      <w:tr w14:paraId="5E482422">
        <w:tblPrEx>
          <w:tblCellMar>
            <w:top w:w="0" w:type="dxa"/>
            <w:left w:w="108" w:type="dxa"/>
            <w:bottom w:w="0" w:type="dxa"/>
            <w:right w:w="108" w:type="dxa"/>
          </w:tblCellMar>
        </w:tblPrEx>
        <w:trPr>
          <w:trHeight w:val="725"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6E6733D9">
            <w:pPr>
              <w:pStyle w:val="14"/>
              <w:spacing w:line="360" w:lineRule="auto"/>
              <w:jc w:val="center"/>
              <w:rPr>
                <w:rFonts w:ascii="仿宋" w:hAnsi="仿宋" w:eastAsia="仿宋"/>
                <w:kern w:val="0"/>
                <w:sz w:val="24"/>
                <w:szCs w:val="24"/>
              </w:rPr>
            </w:pPr>
            <w:r>
              <w:rPr>
                <w:rFonts w:ascii="仿宋" w:hAnsi="仿宋" w:eastAsia="仿宋"/>
                <w:kern w:val="0"/>
                <w:sz w:val="24"/>
                <w:szCs w:val="24"/>
              </w:rPr>
              <w:t>1</w:t>
            </w:r>
          </w:p>
        </w:tc>
        <w:tc>
          <w:tcPr>
            <w:tcW w:w="6800" w:type="dxa"/>
            <w:tcBorders>
              <w:top w:val="single" w:color="000000" w:sz="4" w:space="0"/>
              <w:bottom w:val="single" w:color="000000" w:sz="4" w:space="0"/>
              <w:right w:val="single" w:color="000000" w:sz="4" w:space="0"/>
            </w:tcBorders>
          </w:tcPr>
          <w:p w14:paraId="150A3EEF">
            <w:pPr>
              <w:pStyle w:val="14"/>
              <w:jc w:val="left"/>
              <w:rPr>
                <w:rFonts w:ascii="仿宋" w:hAnsi="仿宋" w:eastAsia="仿宋"/>
                <w:kern w:val="0"/>
                <w:sz w:val="24"/>
                <w:szCs w:val="24"/>
              </w:rPr>
            </w:pPr>
            <w:r>
              <w:rPr>
                <w:rFonts w:ascii="仿宋" w:hAnsi="仿宋" w:eastAsia="仿宋"/>
                <w:kern w:val="0"/>
                <w:sz w:val="24"/>
                <w:szCs w:val="24"/>
              </w:rPr>
              <w:t>法定代表人参加</w:t>
            </w:r>
            <w:r>
              <w:rPr>
                <w:rFonts w:hint="eastAsia" w:ascii="仿宋" w:hAnsi="仿宋" w:eastAsia="仿宋"/>
                <w:kern w:val="0"/>
                <w:sz w:val="24"/>
                <w:szCs w:val="24"/>
              </w:rPr>
              <w:t>磋商</w:t>
            </w:r>
            <w:r>
              <w:rPr>
                <w:rFonts w:ascii="仿宋" w:hAnsi="仿宋" w:eastAsia="仿宋"/>
                <w:kern w:val="0"/>
                <w:sz w:val="24"/>
                <w:szCs w:val="24"/>
              </w:rPr>
              <w:t>的，必须提供法人身份证明原件及本人身份证</w:t>
            </w:r>
            <w:r>
              <w:rPr>
                <w:rFonts w:hint="eastAsia" w:ascii="仿宋" w:hAnsi="仿宋" w:eastAsia="仿宋"/>
                <w:kern w:val="0"/>
                <w:sz w:val="24"/>
                <w:szCs w:val="24"/>
              </w:rPr>
              <w:t>复印</w:t>
            </w:r>
            <w:r>
              <w:rPr>
                <w:rFonts w:ascii="仿宋" w:hAnsi="仿宋" w:eastAsia="仿宋"/>
                <w:kern w:val="0"/>
                <w:sz w:val="24"/>
                <w:szCs w:val="24"/>
              </w:rPr>
              <w:t>件；非法定代表人参加</w:t>
            </w:r>
            <w:r>
              <w:rPr>
                <w:rFonts w:hint="eastAsia" w:ascii="仿宋" w:hAnsi="仿宋" w:eastAsia="仿宋"/>
                <w:kern w:val="0"/>
                <w:sz w:val="24"/>
                <w:szCs w:val="24"/>
              </w:rPr>
              <w:t>磋商</w:t>
            </w:r>
            <w:r>
              <w:rPr>
                <w:rFonts w:ascii="仿宋" w:hAnsi="仿宋" w:eastAsia="仿宋"/>
                <w:kern w:val="0"/>
                <w:sz w:val="24"/>
                <w:szCs w:val="24"/>
              </w:rPr>
              <w:t>的，必须提供法定代表人签名或盖章的授权委托书原件及被委托授权人身份证</w:t>
            </w:r>
            <w:r>
              <w:rPr>
                <w:rFonts w:hint="eastAsia" w:ascii="仿宋" w:hAnsi="仿宋" w:eastAsia="仿宋"/>
                <w:kern w:val="0"/>
                <w:sz w:val="24"/>
                <w:szCs w:val="24"/>
              </w:rPr>
              <w:t>复印件和</w:t>
            </w:r>
            <w:r>
              <w:rPr>
                <w:rFonts w:hint="eastAsia" w:ascii="仿宋" w:hAnsi="仿宋" w:eastAsia="仿宋"/>
                <w:sz w:val="24"/>
                <w:szCs w:val="24"/>
              </w:rPr>
              <w:t>法定代表人的身份证复印件</w:t>
            </w:r>
            <w:r>
              <w:rPr>
                <w:rFonts w:ascii="仿宋" w:hAnsi="仿宋" w:eastAsia="仿宋"/>
                <w:kern w:val="0"/>
                <w:sz w:val="24"/>
                <w:szCs w:val="24"/>
              </w:rPr>
              <w:t>；</w:t>
            </w:r>
          </w:p>
        </w:tc>
        <w:tc>
          <w:tcPr>
            <w:tcW w:w="2310" w:type="dxa"/>
            <w:tcBorders>
              <w:top w:val="single" w:color="000000" w:sz="4" w:space="0"/>
              <w:bottom w:val="single" w:color="000000" w:sz="4" w:space="0"/>
              <w:right w:val="single" w:color="000000" w:sz="4" w:space="0"/>
            </w:tcBorders>
            <w:vAlign w:val="center"/>
          </w:tcPr>
          <w:p w14:paraId="32EA8412">
            <w:pPr>
              <w:pStyle w:val="14"/>
              <w:spacing w:line="360" w:lineRule="auto"/>
              <w:jc w:val="center"/>
              <w:rPr>
                <w:rFonts w:ascii="仿宋" w:hAnsi="仿宋" w:eastAsia="仿宋"/>
                <w:kern w:val="0"/>
                <w:sz w:val="24"/>
                <w:szCs w:val="24"/>
              </w:rPr>
            </w:pPr>
            <w:r>
              <w:rPr>
                <w:rFonts w:ascii="仿宋" w:hAnsi="仿宋" w:eastAsia="仿宋"/>
                <w:kern w:val="0"/>
                <w:sz w:val="24"/>
                <w:szCs w:val="24"/>
              </w:rPr>
              <w:t>　</w:t>
            </w:r>
          </w:p>
        </w:tc>
      </w:tr>
      <w:tr w14:paraId="7EC51236">
        <w:tblPrEx>
          <w:tblCellMar>
            <w:top w:w="0" w:type="dxa"/>
            <w:left w:w="108" w:type="dxa"/>
            <w:bottom w:w="0" w:type="dxa"/>
            <w:right w:w="108" w:type="dxa"/>
          </w:tblCellMar>
        </w:tblPrEx>
        <w:trPr>
          <w:trHeight w:val="455"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17DCF987">
            <w:pPr>
              <w:pStyle w:val="14"/>
              <w:spacing w:line="360" w:lineRule="auto"/>
              <w:jc w:val="center"/>
              <w:rPr>
                <w:rFonts w:ascii="仿宋" w:hAnsi="仿宋" w:eastAsia="仿宋"/>
                <w:kern w:val="0"/>
                <w:sz w:val="24"/>
                <w:szCs w:val="24"/>
              </w:rPr>
            </w:pPr>
            <w:r>
              <w:rPr>
                <w:rFonts w:ascii="仿宋" w:hAnsi="仿宋" w:eastAsia="仿宋"/>
                <w:kern w:val="0"/>
                <w:sz w:val="24"/>
                <w:szCs w:val="24"/>
              </w:rPr>
              <w:t>2</w:t>
            </w:r>
          </w:p>
        </w:tc>
        <w:tc>
          <w:tcPr>
            <w:tcW w:w="6800" w:type="dxa"/>
            <w:tcBorders>
              <w:top w:val="single" w:color="000000" w:sz="4" w:space="0"/>
              <w:bottom w:val="single" w:color="000000" w:sz="4" w:space="0"/>
              <w:right w:val="single" w:color="000000" w:sz="4" w:space="0"/>
            </w:tcBorders>
          </w:tcPr>
          <w:p w14:paraId="729DE79F">
            <w:pPr>
              <w:pStyle w:val="14"/>
              <w:spacing w:line="360" w:lineRule="auto"/>
              <w:rPr>
                <w:rFonts w:ascii="仿宋" w:hAnsi="仿宋" w:eastAsia="仿宋"/>
                <w:sz w:val="24"/>
                <w:szCs w:val="24"/>
              </w:rPr>
            </w:pPr>
            <w:r>
              <w:rPr>
                <w:rFonts w:ascii="仿宋" w:hAnsi="仿宋" w:eastAsia="仿宋" w:cs="仿宋"/>
                <w:bCs/>
                <w:sz w:val="24"/>
                <w:szCs w:val="24"/>
              </w:rPr>
              <w:t>法人或者其他组织的营业执照等证明文件，自然人的身份证明</w:t>
            </w:r>
            <w:r>
              <w:rPr>
                <w:rFonts w:hint="eastAsia" w:ascii="仿宋" w:hAnsi="仿宋" w:eastAsia="仿宋" w:cs="仿宋"/>
                <w:bCs/>
                <w:sz w:val="24"/>
                <w:szCs w:val="24"/>
              </w:rPr>
              <w:t>（提供复印件并加盖公章）</w:t>
            </w:r>
          </w:p>
        </w:tc>
        <w:tc>
          <w:tcPr>
            <w:tcW w:w="2310" w:type="dxa"/>
            <w:tcBorders>
              <w:top w:val="single" w:color="000000" w:sz="4" w:space="0"/>
              <w:bottom w:val="single" w:color="000000" w:sz="4" w:space="0"/>
              <w:right w:val="single" w:color="000000" w:sz="4" w:space="0"/>
            </w:tcBorders>
            <w:vAlign w:val="center"/>
          </w:tcPr>
          <w:p w14:paraId="4DA0C3FE">
            <w:pPr>
              <w:pStyle w:val="14"/>
              <w:spacing w:line="360" w:lineRule="auto"/>
              <w:jc w:val="center"/>
              <w:rPr>
                <w:rFonts w:ascii="仿宋" w:hAnsi="仿宋" w:eastAsia="仿宋"/>
                <w:kern w:val="0"/>
                <w:sz w:val="24"/>
                <w:szCs w:val="24"/>
              </w:rPr>
            </w:pPr>
            <w:r>
              <w:rPr>
                <w:rFonts w:ascii="仿宋" w:hAnsi="仿宋" w:eastAsia="仿宋"/>
                <w:kern w:val="0"/>
                <w:sz w:val="24"/>
                <w:szCs w:val="24"/>
              </w:rPr>
              <w:t>　</w:t>
            </w:r>
          </w:p>
        </w:tc>
      </w:tr>
      <w:tr w14:paraId="21E00FAA">
        <w:tblPrEx>
          <w:tblCellMar>
            <w:top w:w="0" w:type="dxa"/>
            <w:left w:w="108" w:type="dxa"/>
            <w:bottom w:w="0" w:type="dxa"/>
            <w:right w:w="108" w:type="dxa"/>
          </w:tblCellMar>
        </w:tblPrEx>
        <w:trPr>
          <w:trHeight w:val="455"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3E22778C">
            <w:pPr>
              <w:pStyle w:val="14"/>
              <w:spacing w:line="360" w:lineRule="auto"/>
              <w:jc w:val="center"/>
              <w:rPr>
                <w:rFonts w:ascii="仿宋" w:hAnsi="仿宋" w:eastAsia="仿宋" w:cs="仿宋"/>
                <w:bCs/>
                <w:sz w:val="24"/>
                <w:szCs w:val="24"/>
              </w:rPr>
            </w:pPr>
            <w:r>
              <w:rPr>
                <w:rFonts w:ascii="仿宋" w:hAnsi="仿宋" w:eastAsia="仿宋" w:cs="仿宋"/>
                <w:bCs/>
                <w:sz w:val="24"/>
                <w:szCs w:val="24"/>
              </w:rPr>
              <w:t>3</w:t>
            </w:r>
          </w:p>
        </w:tc>
        <w:tc>
          <w:tcPr>
            <w:tcW w:w="6800" w:type="dxa"/>
            <w:tcBorders>
              <w:top w:val="single" w:color="000000" w:sz="4" w:space="0"/>
              <w:bottom w:val="single" w:color="000000" w:sz="4" w:space="0"/>
              <w:right w:val="single" w:color="000000" w:sz="4" w:space="0"/>
            </w:tcBorders>
          </w:tcPr>
          <w:p w14:paraId="7F8E0E01">
            <w:pPr>
              <w:pStyle w:val="14"/>
              <w:spacing w:line="360" w:lineRule="auto"/>
              <w:rPr>
                <w:rFonts w:ascii="仿宋" w:hAnsi="仿宋" w:eastAsia="仿宋" w:cs="仿宋"/>
                <w:bCs/>
                <w:sz w:val="24"/>
                <w:szCs w:val="24"/>
              </w:rPr>
            </w:pPr>
            <w:r>
              <w:rPr>
                <w:rFonts w:hint="eastAsia" w:ascii="仿宋" w:hAnsi="仿宋" w:eastAsia="仿宋" w:cs="仿宋"/>
                <w:bCs/>
                <w:sz w:val="24"/>
                <w:szCs w:val="24"/>
              </w:rPr>
              <w:t>供应商符合规定条件的声明函（格式参见第七章）</w:t>
            </w:r>
          </w:p>
        </w:tc>
        <w:tc>
          <w:tcPr>
            <w:tcW w:w="2310" w:type="dxa"/>
            <w:tcBorders>
              <w:top w:val="single" w:color="000000" w:sz="4" w:space="0"/>
              <w:bottom w:val="single" w:color="000000" w:sz="4" w:space="0"/>
              <w:right w:val="single" w:color="000000" w:sz="4" w:space="0"/>
            </w:tcBorders>
            <w:vAlign w:val="center"/>
          </w:tcPr>
          <w:p w14:paraId="7FC06C9E">
            <w:pPr>
              <w:pStyle w:val="14"/>
              <w:spacing w:line="360" w:lineRule="auto"/>
              <w:jc w:val="center"/>
              <w:rPr>
                <w:rFonts w:ascii="仿宋" w:hAnsi="仿宋" w:eastAsia="仿宋"/>
                <w:kern w:val="0"/>
                <w:sz w:val="24"/>
                <w:szCs w:val="24"/>
              </w:rPr>
            </w:pPr>
          </w:p>
        </w:tc>
      </w:tr>
      <w:tr w14:paraId="7956FF67">
        <w:tblPrEx>
          <w:tblCellMar>
            <w:top w:w="0" w:type="dxa"/>
            <w:left w:w="108" w:type="dxa"/>
            <w:bottom w:w="0" w:type="dxa"/>
            <w:right w:w="108" w:type="dxa"/>
          </w:tblCellMar>
        </w:tblPrEx>
        <w:trPr>
          <w:trHeight w:val="323"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501C5FAA">
            <w:pPr>
              <w:pStyle w:val="14"/>
              <w:spacing w:line="360" w:lineRule="auto"/>
              <w:jc w:val="center"/>
              <w:rPr>
                <w:rFonts w:ascii="仿宋" w:hAnsi="仿宋" w:eastAsia="仿宋"/>
                <w:kern w:val="0"/>
                <w:sz w:val="24"/>
                <w:szCs w:val="24"/>
              </w:rPr>
            </w:pPr>
            <w:r>
              <w:rPr>
                <w:rFonts w:hint="eastAsia" w:ascii="仿宋" w:hAnsi="仿宋" w:eastAsia="仿宋"/>
                <w:kern w:val="0"/>
                <w:sz w:val="24"/>
                <w:szCs w:val="24"/>
              </w:rPr>
              <w:t>4</w:t>
            </w:r>
          </w:p>
        </w:tc>
        <w:tc>
          <w:tcPr>
            <w:tcW w:w="6800" w:type="dxa"/>
            <w:tcBorders>
              <w:top w:val="single" w:color="000000" w:sz="4" w:space="0"/>
              <w:bottom w:val="single" w:color="000000" w:sz="4" w:space="0"/>
              <w:right w:val="single" w:color="000000" w:sz="4" w:space="0"/>
            </w:tcBorders>
            <w:vAlign w:val="center"/>
          </w:tcPr>
          <w:p w14:paraId="73263BC3">
            <w:pPr>
              <w:pStyle w:val="14"/>
              <w:jc w:val="left"/>
              <w:rPr>
                <w:rFonts w:ascii="仿宋" w:hAnsi="仿宋" w:eastAsia="仿宋"/>
                <w:kern w:val="0"/>
                <w:sz w:val="24"/>
                <w:szCs w:val="24"/>
              </w:rPr>
            </w:pPr>
            <w:r>
              <w:rPr>
                <w:rFonts w:ascii="仿宋" w:hAnsi="仿宋" w:eastAsia="仿宋"/>
                <w:sz w:val="24"/>
                <w:szCs w:val="24"/>
              </w:rPr>
              <w:t>供应商响应文件函（按磋商文件第七章后附格式）</w:t>
            </w:r>
          </w:p>
        </w:tc>
        <w:tc>
          <w:tcPr>
            <w:tcW w:w="2310" w:type="dxa"/>
            <w:tcBorders>
              <w:top w:val="single" w:color="000000" w:sz="4" w:space="0"/>
              <w:bottom w:val="single" w:color="000000" w:sz="4" w:space="0"/>
              <w:right w:val="single" w:color="000000" w:sz="4" w:space="0"/>
            </w:tcBorders>
            <w:vAlign w:val="center"/>
          </w:tcPr>
          <w:p w14:paraId="5DC9451E">
            <w:pPr>
              <w:pStyle w:val="14"/>
              <w:spacing w:line="360" w:lineRule="auto"/>
              <w:rPr>
                <w:rFonts w:ascii="仿宋" w:hAnsi="仿宋" w:eastAsia="仿宋"/>
                <w:kern w:val="0"/>
                <w:sz w:val="24"/>
                <w:szCs w:val="24"/>
              </w:rPr>
            </w:pPr>
          </w:p>
        </w:tc>
      </w:tr>
      <w:tr w14:paraId="771044AF">
        <w:tblPrEx>
          <w:tblCellMar>
            <w:top w:w="0" w:type="dxa"/>
            <w:left w:w="108" w:type="dxa"/>
            <w:bottom w:w="0" w:type="dxa"/>
            <w:right w:w="108" w:type="dxa"/>
          </w:tblCellMar>
        </w:tblPrEx>
        <w:trPr>
          <w:trHeight w:val="790"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61DD11A6">
            <w:pPr>
              <w:pStyle w:val="14"/>
              <w:spacing w:line="360" w:lineRule="auto"/>
              <w:jc w:val="center"/>
              <w:rPr>
                <w:rFonts w:ascii="仿宋" w:hAnsi="仿宋" w:eastAsia="仿宋"/>
                <w:kern w:val="0"/>
                <w:sz w:val="24"/>
                <w:szCs w:val="24"/>
              </w:rPr>
            </w:pPr>
            <w:r>
              <w:rPr>
                <w:rFonts w:hint="eastAsia" w:ascii="仿宋" w:hAnsi="仿宋" w:eastAsia="仿宋"/>
                <w:kern w:val="0"/>
                <w:sz w:val="24"/>
                <w:szCs w:val="24"/>
              </w:rPr>
              <w:t>5</w:t>
            </w:r>
          </w:p>
        </w:tc>
        <w:tc>
          <w:tcPr>
            <w:tcW w:w="6800" w:type="dxa"/>
            <w:tcBorders>
              <w:top w:val="single" w:color="000000" w:sz="4" w:space="0"/>
              <w:bottom w:val="single" w:color="000000" w:sz="4" w:space="0"/>
              <w:right w:val="single" w:color="000000" w:sz="4" w:space="0"/>
            </w:tcBorders>
            <w:vAlign w:val="center"/>
          </w:tcPr>
          <w:p w14:paraId="367BB399">
            <w:pPr>
              <w:pStyle w:val="21"/>
              <w:rPr>
                <w:rFonts w:ascii="仿宋" w:hAnsi="仿宋" w:eastAsia="仿宋"/>
                <w:kern w:val="0"/>
                <w:sz w:val="24"/>
                <w:szCs w:val="24"/>
              </w:rPr>
            </w:pPr>
            <w:r>
              <w:rPr>
                <w:rFonts w:hint="eastAsia" w:ascii="仿宋" w:hAnsi="仿宋" w:eastAsia="仿宋" w:cs="宋体"/>
                <w:sz w:val="24"/>
                <w:szCs w:val="24"/>
              </w:rPr>
              <w:t>响应供应商为三级（或参照三级管理）及以上</w:t>
            </w:r>
            <w:r>
              <w:rPr>
                <w:rFonts w:hint="eastAsia" w:ascii="仿宋" w:hAnsi="仿宋" w:eastAsia="仿宋" w:cs="仿宋"/>
                <w:sz w:val="24"/>
                <w:szCs w:val="24"/>
              </w:rPr>
              <w:t>的</w:t>
            </w:r>
            <w:r>
              <w:rPr>
                <w:rFonts w:hint="eastAsia" w:ascii="仿宋" w:hAnsi="仿宋" w:eastAsia="仿宋" w:cs="宋体"/>
                <w:sz w:val="24"/>
                <w:szCs w:val="24"/>
              </w:rPr>
              <w:t>医疗机构（提供医疗机构执业许可证（副本）及相关证明文件）</w:t>
            </w:r>
          </w:p>
        </w:tc>
        <w:tc>
          <w:tcPr>
            <w:tcW w:w="2310" w:type="dxa"/>
            <w:tcBorders>
              <w:top w:val="single" w:color="000000" w:sz="4" w:space="0"/>
              <w:bottom w:val="single" w:color="000000" w:sz="4" w:space="0"/>
              <w:right w:val="single" w:color="000000" w:sz="4" w:space="0"/>
            </w:tcBorders>
            <w:vAlign w:val="center"/>
          </w:tcPr>
          <w:p w14:paraId="400A0CE4">
            <w:pPr>
              <w:pStyle w:val="14"/>
              <w:spacing w:line="360" w:lineRule="auto"/>
              <w:rPr>
                <w:rFonts w:ascii="仿宋" w:hAnsi="仿宋" w:eastAsia="仿宋"/>
                <w:kern w:val="0"/>
                <w:sz w:val="24"/>
                <w:szCs w:val="24"/>
              </w:rPr>
            </w:pPr>
          </w:p>
        </w:tc>
      </w:tr>
      <w:tr w14:paraId="007DC5E0">
        <w:tblPrEx>
          <w:tblCellMar>
            <w:top w:w="0" w:type="dxa"/>
            <w:left w:w="108" w:type="dxa"/>
            <w:bottom w:w="0" w:type="dxa"/>
            <w:right w:w="108" w:type="dxa"/>
          </w:tblCellMar>
        </w:tblPrEx>
        <w:trPr>
          <w:trHeight w:val="318"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31B47CC6">
            <w:pPr>
              <w:pStyle w:val="14"/>
              <w:spacing w:line="360" w:lineRule="auto"/>
              <w:jc w:val="center"/>
              <w:rPr>
                <w:rFonts w:ascii="仿宋" w:hAnsi="仿宋" w:eastAsia="仿宋"/>
                <w:kern w:val="0"/>
                <w:sz w:val="24"/>
                <w:szCs w:val="24"/>
              </w:rPr>
            </w:pPr>
            <w:r>
              <w:rPr>
                <w:rFonts w:hint="eastAsia" w:ascii="仿宋" w:hAnsi="仿宋" w:eastAsia="仿宋"/>
                <w:kern w:val="0"/>
                <w:sz w:val="24"/>
                <w:szCs w:val="24"/>
              </w:rPr>
              <w:t>6</w:t>
            </w:r>
          </w:p>
        </w:tc>
        <w:tc>
          <w:tcPr>
            <w:tcW w:w="6800" w:type="dxa"/>
            <w:tcBorders>
              <w:top w:val="single" w:color="000000" w:sz="4" w:space="0"/>
              <w:bottom w:val="single" w:color="000000" w:sz="4" w:space="0"/>
              <w:right w:val="single" w:color="000000" w:sz="4" w:space="0"/>
            </w:tcBorders>
          </w:tcPr>
          <w:p w14:paraId="12160995">
            <w:pPr>
              <w:pStyle w:val="14"/>
              <w:jc w:val="left"/>
              <w:rPr>
                <w:rFonts w:ascii="仿宋" w:hAnsi="仿宋" w:eastAsia="仿宋"/>
                <w:kern w:val="0"/>
                <w:sz w:val="24"/>
                <w:szCs w:val="24"/>
              </w:rPr>
            </w:pPr>
            <w:r>
              <w:rPr>
                <w:rFonts w:ascii="仿宋" w:hAnsi="仿宋" w:eastAsia="仿宋"/>
                <w:sz w:val="24"/>
                <w:szCs w:val="24"/>
              </w:rPr>
              <w:t>磋商供应商认为其他必要的材料</w:t>
            </w:r>
          </w:p>
        </w:tc>
        <w:tc>
          <w:tcPr>
            <w:tcW w:w="2310" w:type="dxa"/>
            <w:tcBorders>
              <w:top w:val="single" w:color="000000" w:sz="4" w:space="0"/>
              <w:bottom w:val="single" w:color="000000" w:sz="4" w:space="0"/>
              <w:right w:val="single" w:color="000000" w:sz="4" w:space="0"/>
            </w:tcBorders>
            <w:vAlign w:val="center"/>
          </w:tcPr>
          <w:p w14:paraId="1A86EB4F">
            <w:pPr>
              <w:pStyle w:val="14"/>
              <w:spacing w:line="360" w:lineRule="auto"/>
              <w:jc w:val="center"/>
              <w:rPr>
                <w:rFonts w:ascii="仿宋" w:hAnsi="仿宋" w:eastAsia="仿宋"/>
                <w:kern w:val="0"/>
                <w:sz w:val="24"/>
                <w:szCs w:val="24"/>
              </w:rPr>
            </w:pPr>
          </w:p>
        </w:tc>
      </w:tr>
    </w:tbl>
    <w:p w14:paraId="535550E0">
      <w:pPr>
        <w:pStyle w:val="14"/>
        <w:autoSpaceDE w:val="0"/>
        <w:autoSpaceDN w:val="0"/>
        <w:spacing w:line="360" w:lineRule="auto"/>
        <w:rPr>
          <w:rFonts w:ascii="仿宋" w:hAnsi="仿宋" w:eastAsia="仿宋"/>
          <w:b/>
          <w:bCs/>
          <w:sz w:val="24"/>
          <w:szCs w:val="24"/>
        </w:rPr>
      </w:pPr>
      <w:r>
        <w:rPr>
          <w:rFonts w:ascii="仿宋" w:hAnsi="仿宋" w:eastAsia="仿宋"/>
          <w:b/>
          <w:bCs/>
          <w:sz w:val="24"/>
          <w:szCs w:val="24"/>
        </w:rPr>
        <w:t>法定代表人或其委托人签字：</w:t>
      </w:r>
    </w:p>
    <w:p w14:paraId="7FF5E684">
      <w:pPr>
        <w:pStyle w:val="14"/>
        <w:autoSpaceDE w:val="0"/>
        <w:autoSpaceDN w:val="0"/>
        <w:spacing w:line="360" w:lineRule="auto"/>
        <w:rPr>
          <w:rFonts w:ascii="仿宋" w:hAnsi="仿宋" w:eastAsia="仿宋"/>
          <w:b/>
          <w:bCs/>
          <w:sz w:val="24"/>
          <w:szCs w:val="24"/>
        </w:rPr>
      </w:pPr>
      <w:r>
        <w:rPr>
          <w:rFonts w:ascii="仿宋" w:hAnsi="仿宋" w:eastAsia="仿宋"/>
          <w:b/>
          <w:bCs/>
          <w:sz w:val="24"/>
          <w:szCs w:val="24"/>
        </w:rPr>
        <w:t>磋商供应商盖章：</w:t>
      </w:r>
    </w:p>
    <w:p w14:paraId="1C1029F4">
      <w:pPr>
        <w:pStyle w:val="14"/>
        <w:autoSpaceDE w:val="0"/>
        <w:autoSpaceDN w:val="0"/>
        <w:spacing w:line="360" w:lineRule="auto"/>
        <w:rPr>
          <w:rFonts w:ascii="仿宋" w:hAnsi="仿宋" w:eastAsia="仿宋"/>
          <w:b/>
          <w:bCs/>
          <w:sz w:val="24"/>
          <w:szCs w:val="24"/>
        </w:rPr>
      </w:pPr>
      <w:r>
        <w:rPr>
          <w:rFonts w:ascii="仿宋" w:hAnsi="仿宋" w:eastAsia="仿宋"/>
          <w:b/>
          <w:bCs/>
          <w:sz w:val="24"/>
          <w:szCs w:val="24"/>
        </w:rPr>
        <w:t>注：以上表格由磋商供应商填写。</w:t>
      </w:r>
    </w:p>
    <w:p w14:paraId="75EDD7AC">
      <w:pPr>
        <w:pStyle w:val="15"/>
        <w:rPr>
          <w:rFonts w:ascii="仿宋" w:hAnsi="仿宋" w:eastAsia="仿宋"/>
        </w:rPr>
      </w:pPr>
      <w:r>
        <w:rPr>
          <w:rFonts w:ascii="仿宋" w:hAnsi="仿宋" w:eastAsia="仿宋"/>
        </w:rPr>
        <w:t xml:space="preserve"> </w:t>
      </w:r>
    </w:p>
    <w:p w14:paraId="480727EE">
      <w:pPr>
        <w:rPr>
          <w:rFonts w:ascii="仿宋" w:hAnsi="仿宋" w:eastAsia="仿宋"/>
          <w:b/>
          <w:bCs/>
          <w:sz w:val="28"/>
          <w:szCs w:val="28"/>
        </w:rPr>
      </w:pPr>
      <w:r>
        <w:rPr>
          <w:rFonts w:ascii="仿宋" w:hAnsi="仿宋" w:eastAsia="仿宋"/>
          <w:b/>
          <w:bCs/>
          <w:sz w:val="28"/>
          <w:szCs w:val="28"/>
        </w:rPr>
        <w:br w:type="page"/>
      </w:r>
    </w:p>
    <w:p w14:paraId="300933AD">
      <w:pPr>
        <w:pStyle w:val="14"/>
        <w:snapToGrid w:val="0"/>
        <w:spacing w:line="360" w:lineRule="auto"/>
        <w:jc w:val="center"/>
        <w:outlineLvl w:val="4"/>
        <w:rPr>
          <w:rFonts w:ascii="仿宋" w:hAnsi="仿宋" w:eastAsia="仿宋"/>
          <w:b/>
          <w:bCs/>
          <w:sz w:val="28"/>
          <w:szCs w:val="28"/>
        </w:rPr>
      </w:pPr>
      <w:r>
        <w:rPr>
          <w:rFonts w:ascii="仿宋" w:hAnsi="仿宋" w:eastAsia="仿宋"/>
          <w:b/>
          <w:bCs/>
          <w:sz w:val="28"/>
          <w:szCs w:val="28"/>
        </w:rPr>
        <w:t>1、法定代表人身份证明</w:t>
      </w:r>
    </w:p>
    <w:p w14:paraId="2E136A77">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0D14C5F7">
      <w:pPr>
        <w:pStyle w:val="14"/>
        <w:spacing w:line="360" w:lineRule="auto"/>
        <w:rPr>
          <w:rFonts w:ascii="仿宋" w:hAnsi="仿宋" w:eastAsia="仿宋"/>
          <w:sz w:val="24"/>
          <w:szCs w:val="24"/>
        </w:rPr>
      </w:pPr>
      <w:r>
        <w:rPr>
          <w:rFonts w:ascii="仿宋" w:hAnsi="仿宋" w:eastAsia="仿宋"/>
          <w:sz w:val="24"/>
          <w:szCs w:val="24"/>
          <w:u w:val="single"/>
        </w:rPr>
        <w:t>（采购人）</w:t>
      </w:r>
      <w:r>
        <w:rPr>
          <w:rFonts w:ascii="仿宋" w:hAnsi="仿宋" w:eastAsia="仿宋"/>
          <w:sz w:val="24"/>
          <w:szCs w:val="24"/>
        </w:rPr>
        <w:t>：</w:t>
      </w:r>
    </w:p>
    <w:p w14:paraId="2B51EBD3">
      <w:pPr>
        <w:pStyle w:val="14"/>
        <w:snapToGrid w:val="0"/>
        <w:spacing w:line="360" w:lineRule="auto"/>
        <w:ind w:firstLine="480" w:firstLineChars="200"/>
        <w:rPr>
          <w:rFonts w:ascii="仿宋" w:hAnsi="仿宋" w:eastAsia="仿宋"/>
          <w:sz w:val="24"/>
          <w:szCs w:val="24"/>
        </w:rPr>
      </w:pPr>
      <w:r>
        <w:rPr>
          <w:rFonts w:ascii="仿宋" w:hAnsi="仿宋" w:eastAsia="仿宋"/>
          <w:sz w:val="24"/>
          <w:szCs w:val="24"/>
        </w:rPr>
        <w:t>我公司法定代表人参加贵单位组织的</w:t>
      </w:r>
      <w:r>
        <w:rPr>
          <w:rFonts w:hint="eastAsia" w:ascii="仿宋" w:hAnsi="仿宋" w:eastAsia="仿宋"/>
          <w:sz w:val="24"/>
          <w:szCs w:val="24"/>
          <w:u w:val="single"/>
        </w:rPr>
        <w:t xml:space="preserve">         </w:t>
      </w:r>
      <w:r>
        <w:rPr>
          <w:rFonts w:ascii="仿宋" w:hAnsi="仿宋" w:eastAsia="仿宋"/>
          <w:sz w:val="24"/>
          <w:szCs w:val="24"/>
        </w:rPr>
        <w:t>（采购项目名称及项目编号)项目公开招标采购活动，全权代表我公司处理投标的有关事宜。</w:t>
      </w:r>
    </w:p>
    <w:p w14:paraId="6571AE10">
      <w:pPr>
        <w:pStyle w:val="14"/>
        <w:snapToGrid w:val="0"/>
        <w:spacing w:line="360" w:lineRule="auto"/>
        <w:rPr>
          <w:rFonts w:ascii="仿宋" w:hAnsi="仿宋" w:eastAsia="仿宋"/>
          <w:sz w:val="24"/>
          <w:szCs w:val="24"/>
        </w:rPr>
      </w:pPr>
      <w:r>
        <w:rPr>
          <w:rFonts w:ascii="仿宋" w:hAnsi="仿宋" w:eastAsia="仿宋"/>
          <w:sz w:val="24"/>
          <w:szCs w:val="24"/>
        </w:rPr>
        <w:t>附：法定代表人情况：</w:t>
      </w:r>
    </w:p>
    <w:p w14:paraId="31130570">
      <w:pPr>
        <w:pStyle w:val="14"/>
        <w:snapToGrid w:val="0"/>
        <w:spacing w:line="360" w:lineRule="auto"/>
        <w:rPr>
          <w:rFonts w:ascii="仿宋" w:hAnsi="仿宋" w:eastAsia="仿宋"/>
          <w:sz w:val="24"/>
          <w:szCs w:val="24"/>
          <w:u w:val="single"/>
        </w:rPr>
      </w:pPr>
      <w:r>
        <w:rPr>
          <w:rFonts w:ascii="仿宋" w:hAnsi="仿宋" w:eastAsia="仿宋"/>
          <w:sz w:val="24"/>
          <w:szCs w:val="24"/>
        </w:rPr>
        <w:t>姓名：性别：年龄：职务：</w:t>
      </w:r>
    </w:p>
    <w:p w14:paraId="404AA0DC">
      <w:pPr>
        <w:pStyle w:val="14"/>
        <w:snapToGrid w:val="0"/>
        <w:spacing w:line="360" w:lineRule="auto"/>
        <w:rPr>
          <w:rFonts w:ascii="仿宋" w:hAnsi="仿宋" w:eastAsia="仿宋"/>
          <w:sz w:val="24"/>
          <w:szCs w:val="24"/>
        </w:rPr>
      </w:pPr>
      <w:r>
        <w:rPr>
          <w:rFonts w:ascii="仿宋" w:hAnsi="仿宋" w:eastAsia="仿宋"/>
          <w:sz w:val="24"/>
          <w:szCs w:val="24"/>
        </w:rPr>
        <w:t>身份证号码：</w:t>
      </w:r>
    </w:p>
    <w:p w14:paraId="35BB2C27">
      <w:pPr>
        <w:pStyle w:val="14"/>
        <w:snapToGrid w:val="0"/>
        <w:spacing w:line="360" w:lineRule="auto"/>
        <w:rPr>
          <w:rFonts w:ascii="仿宋" w:hAnsi="仿宋" w:eastAsia="仿宋"/>
          <w:sz w:val="24"/>
          <w:szCs w:val="24"/>
        </w:rPr>
      </w:pPr>
      <w:r>
        <w:rPr>
          <w:rFonts w:ascii="仿宋" w:hAnsi="仿宋" w:eastAsia="仿宋"/>
          <w:sz w:val="24"/>
          <w:szCs w:val="24"/>
        </w:rPr>
        <w:t>手机：传真：</w:t>
      </w:r>
    </w:p>
    <w:p w14:paraId="5AB428D5">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26A4E911">
      <w:pPr>
        <w:pStyle w:val="14"/>
        <w:snapToGrid w:val="0"/>
        <w:spacing w:line="360" w:lineRule="auto"/>
        <w:rPr>
          <w:rFonts w:ascii="仿宋" w:hAnsi="仿宋" w:eastAsia="仿宋"/>
          <w:sz w:val="24"/>
          <w:szCs w:val="24"/>
        </w:rPr>
      </w:pPr>
      <w:r>
        <w:rPr>
          <w:rFonts w:ascii="仿宋" w:hAnsi="仿宋" w:eastAsia="仿宋"/>
          <w:sz w:val="24"/>
          <w:szCs w:val="24"/>
        </w:rPr>
        <w:t>单位名称（公章）法定代表人（签字）</w:t>
      </w:r>
    </w:p>
    <w:p w14:paraId="7809FA25">
      <w:pPr>
        <w:pStyle w:val="14"/>
        <w:snapToGrid w:val="0"/>
        <w:spacing w:line="360" w:lineRule="auto"/>
        <w:rPr>
          <w:rFonts w:ascii="仿宋" w:hAnsi="仿宋" w:eastAsia="仿宋"/>
          <w:sz w:val="24"/>
          <w:szCs w:val="24"/>
        </w:rPr>
      </w:pPr>
      <w:r>
        <w:rPr>
          <w:rFonts w:ascii="仿宋" w:hAnsi="仿宋" w:eastAsia="仿宋"/>
          <w:sz w:val="24"/>
          <w:szCs w:val="24"/>
        </w:rPr>
        <w:t>年月日年月日</w:t>
      </w:r>
    </w:p>
    <w:p w14:paraId="037B9089">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2EDF98EE">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657BC8D4">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4C3C81DD">
      <w:pPr>
        <w:pStyle w:val="14"/>
        <w:snapToGrid w:val="0"/>
        <w:spacing w:line="360" w:lineRule="auto"/>
        <w:rPr>
          <w:rFonts w:ascii="仿宋" w:hAnsi="仿宋" w:eastAsia="仿宋"/>
          <w:sz w:val="24"/>
          <w:szCs w:val="24"/>
        </w:rPr>
      </w:pPr>
      <w:r>
        <w:rPr>
          <w:rFonts w:ascii="仿宋" w:hAnsi="仿宋" w:eastAsia="仿宋"/>
          <w:sz w:val="24"/>
          <w:szCs w:val="24"/>
        </w:rPr>
        <w:t>法定代表人身份证复印件正反两面</w:t>
      </w:r>
    </w:p>
    <w:p w14:paraId="7BA5D8C8">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51E1645F">
      <w:pPr>
        <w:pStyle w:val="14"/>
        <w:snapToGrid w:val="0"/>
        <w:spacing w:line="360" w:lineRule="auto"/>
        <w:rPr>
          <w:rFonts w:ascii="仿宋" w:hAnsi="仿宋" w:eastAsia="仿宋"/>
          <w:sz w:val="24"/>
          <w:szCs w:val="24"/>
        </w:rPr>
      </w:pPr>
      <w:r>
        <w:rPr>
          <w:rFonts w:ascii="仿宋" w:hAnsi="仿宋" w:eastAsia="仿宋"/>
          <w:sz w:val="24"/>
          <w:szCs w:val="24"/>
        </w:rPr>
        <w:t>（粘贴此处）</w:t>
      </w:r>
    </w:p>
    <w:p w14:paraId="31CF42F4">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4BEEE40A">
      <w:pPr>
        <w:pStyle w:val="14"/>
        <w:snapToGrid w:val="0"/>
        <w:spacing w:line="360" w:lineRule="auto"/>
        <w:rPr>
          <w:rFonts w:ascii="仿宋" w:hAnsi="仿宋" w:eastAsia="仿宋"/>
          <w:sz w:val="24"/>
          <w:szCs w:val="24"/>
        </w:rPr>
      </w:pPr>
      <w:r>
        <w:rPr>
          <w:rFonts w:ascii="仿宋" w:hAnsi="仿宋" w:eastAsia="仿宋"/>
          <w:sz w:val="24"/>
          <w:szCs w:val="24"/>
        </w:rPr>
        <w:t xml:space="preserve"> </w:t>
      </w:r>
    </w:p>
    <w:p w14:paraId="17A3E2BE">
      <w:pPr>
        <w:pStyle w:val="14"/>
        <w:snapToGrid w:val="0"/>
        <w:spacing w:line="360" w:lineRule="auto"/>
        <w:jc w:val="center"/>
        <w:outlineLvl w:val="4"/>
        <w:rPr>
          <w:rFonts w:ascii="仿宋" w:hAnsi="仿宋" w:eastAsia="仿宋"/>
          <w:b/>
          <w:bCs/>
          <w:sz w:val="24"/>
          <w:szCs w:val="24"/>
        </w:rPr>
      </w:pPr>
      <w:r>
        <w:rPr>
          <w:rFonts w:ascii="仿宋" w:hAnsi="仿宋" w:eastAsia="仿宋"/>
          <w:b/>
          <w:bCs/>
          <w:sz w:val="24"/>
          <w:szCs w:val="24"/>
        </w:rPr>
        <w:t xml:space="preserve"> </w:t>
      </w:r>
    </w:p>
    <w:p w14:paraId="7DE280FD">
      <w:pPr>
        <w:pStyle w:val="14"/>
        <w:snapToGrid w:val="0"/>
        <w:spacing w:line="360" w:lineRule="auto"/>
        <w:rPr>
          <w:rFonts w:ascii="仿宋" w:hAnsi="仿宋" w:eastAsia="仿宋"/>
          <w:b/>
          <w:bCs/>
          <w:sz w:val="23"/>
          <w:szCs w:val="23"/>
        </w:rPr>
      </w:pPr>
      <w:r>
        <w:rPr>
          <w:rFonts w:ascii="仿宋" w:hAnsi="仿宋" w:eastAsia="仿宋"/>
          <w:b/>
          <w:bCs/>
          <w:sz w:val="23"/>
          <w:szCs w:val="23"/>
        </w:rPr>
        <w:t>注:参加投标时法定代表人将身份证原件带至开标现场备查</w:t>
      </w:r>
    </w:p>
    <w:p w14:paraId="1819B77D">
      <w:pPr>
        <w:pStyle w:val="14"/>
        <w:snapToGrid w:val="0"/>
        <w:spacing w:line="360" w:lineRule="auto"/>
        <w:jc w:val="center"/>
        <w:outlineLvl w:val="4"/>
        <w:rPr>
          <w:rFonts w:ascii="仿宋" w:hAnsi="仿宋" w:eastAsia="仿宋"/>
          <w:b/>
          <w:bCs/>
          <w:sz w:val="24"/>
          <w:szCs w:val="24"/>
        </w:rPr>
      </w:pPr>
      <w:r>
        <w:rPr>
          <w:rFonts w:ascii="仿宋" w:hAnsi="仿宋" w:eastAsia="仿宋"/>
          <w:b/>
          <w:bCs/>
          <w:sz w:val="24"/>
          <w:szCs w:val="24"/>
        </w:rPr>
        <w:t xml:space="preserve"> </w:t>
      </w:r>
    </w:p>
    <w:p w14:paraId="2F26D99D">
      <w:pPr>
        <w:rPr>
          <w:rFonts w:ascii="仿宋" w:hAnsi="仿宋" w:eastAsia="仿宋"/>
          <w:b/>
          <w:bCs/>
          <w:sz w:val="28"/>
          <w:szCs w:val="28"/>
        </w:rPr>
      </w:pPr>
      <w:r>
        <w:rPr>
          <w:rFonts w:ascii="仿宋" w:hAnsi="仿宋" w:eastAsia="仿宋"/>
          <w:b/>
          <w:bCs/>
          <w:sz w:val="28"/>
          <w:szCs w:val="28"/>
        </w:rPr>
        <w:br w:type="page"/>
      </w:r>
    </w:p>
    <w:p w14:paraId="05018AD3">
      <w:pPr>
        <w:pStyle w:val="14"/>
        <w:snapToGrid w:val="0"/>
        <w:spacing w:line="360" w:lineRule="auto"/>
        <w:jc w:val="center"/>
        <w:outlineLvl w:val="4"/>
        <w:rPr>
          <w:rFonts w:ascii="仿宋" w:hAnsi="仿宋" w:eastAsia="仿宋"/>
          <w:b/>
          <w:bCs/>
          <w:sz w:val="28"/>
          <w:szCs w:val="28"/>
        </w:rPr>
      </w:pPr>
      <w:r>
        <w:rPr>
          <w:rFonts w:ascii="仿宋" w:hAnsi="仿宋" w:eastAsia="仿宋"/>
          <w:b/>
          <w:bCs/>
          <w:sz w:val="28"/>
          <w:szCs w:val="28"/>
        </w:rPr>
        <w:t>2、法定代表人授权委托书</w:t>
      </w:r>
    </w:p>
    <w:p w14:paraId="5ACF00E2">
      <w:pPr>
        <w:snapToGrid w:val="0"/>
        <w:spacing w:line="360" w:lineRule="auto"/>
        <w:jc w:val="center"/>
        <w:outlineLvl w:val="4"/>
        <w:rPr>
          <w:rFonts w:ascii="仿宋" w:hAnsi="仿宋" w:eastAsia="仿宋" w:cs="仿宋"/>
          <w:b/>
          <w:bCs/>
          <w:sz w:val="28"/>
          <w:szCs w:val="28"/>
        </w:rPr>
      </w:pPr>
      <w:r>
        <w:rPr>
          <w:rFonts w:hint="eastAsia" w:ascii="仿宋" w:hAnsi="仿宋" w:eastAsia="仿宋" w:cs="仿宋"/>
          <w:bCs/>
          <w:sz w:val="24"/>
          <w:szCs w:val="24"/>
        </w:rPr>
        <w:t>（如被授权人参加磋商，须出示此证明）</w:t>
      </w:r>
    </w:p>
    <w:p w14:paraId="3346C6A8">
      <w:pPr>
        <w:snapToGrid w:val="0"/>
        <w:spacing w:line="360" w:lineRule="auto"/>
        <w:textAlignment w:val="baseline"/>
        <w:rPr>
          <w:rFonts w:ascii="仿宋" w:hAnsi="仿宋" w:eastAsia="仿宋" w:cs="仿宋"/>
          <w:sz w:val="24"/>
          <w:szCs w:val="24"/>
          <w:u w:val="single"/>
        </w:rPr>
      </w:pPr>
      <w:r>
        <w:rPr>
          <w:rFonts w:hint="eastAsia" w:ascii="仿宋" w:hAnsi="仿宋" w:eastAsia="仿宋" w:cs="仿宋"/>
          <w:sz w:val="24"/>
          <w:szCs w:val="24"/>
          <w:u w:val="single" w:color="000000"/>
        </w:rPr>
        <w:t>（采购人）：</w:t>
      </w:r>
    </w:p>
    <w:p w14:paraId="287C13B6">
      <w:pPr>
        <w:snapToGrid w:val="0"/>
        <w:spacing w:line="360" w:lineRule="auto"/>
        <w:ind w:firstLine="484" w:firstLineChars="202"/>
        <w:textAlignment w:val="baseline"/>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（供应商名称）的法定代表人，现授权委托</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14:paraId="0EFEDD0D">
      <w:pPr>
        <w:snapToGrid w:val="0"/>
        <w:spacing w:line="360" w:lineRule="auto"/>
        <w:ind w:firstLine="484" w:firstLineChars="202"/>
        <w:textAlignment w:val="baseline"/>
        <w:rPr>
          <w:rFonts w:ascii="仿宋" w:hAnsi="仿宋" w:eastAsia="仿宋" w:cs="仿宋"/>
          <w:sz w:val="24"/>
          <w:szCs w:val="24"/>
        </w:rPr>
      </w:pPr>
      <w:r>
        <w:rPr>
          <w:rFonts w:hint="eastAsia" w:ascii="仿宋" w:hAnsi="仿宋" w:eastAsia="仿宋" w:cs="仿宋"/>
          <w:sz w:val="24"/>
          <w:szCs w:val="24"/>
        </w:rPr>
        <w:t>被委托受权人无转委权。特此委托。</w:t>
      </w:r>
    </w:p>
    <w:p w14:paraId="3AF23738">
      <w:pPr>
        <w:pStyle w:val="8"/>
        <w:snapToGrid w:val="0"/>
        <w:spacing w:line="360" w:lineRule="auto"/>
        <w:textAlignment w:val="baseline"/>
        <w:rPr>
          <w:rFonts w:ascii="仿宋" w:hAnsi="仿宋" w:eastAsia="仿宋" w:cs="仿宋"/>
          <w:szCs w:val="24"/>
        </w:rPr>
      </w:pPr>
    </w:p>
    <w:p w14:paraId="3508DB28">
      <w:pPr>
        <w:snapToGrid w:val="0"/>
        <w:spacing w:line="360" w:lineRule="auto"/>
        <w:ind w:firstLine="972" w:firstLineChars="405"/>
        <w:textAlignment w:val="baseline"/>
        <w:rPr>
          <w:rFonts w:ascii="仿宋" w:hAnsi="仿宋" w:eastAsia="仿宋" w:cs="仿宋"/>
          <w:sz w:val="24"/>
          <w:szCs w:val="24"/>
        </w:rPr>
      </w:pPr>
      <w:r>
        <w:rPr>
          <w:rFonts w:hint="eastAsia" w:ascii="仿宋" w:hAnsi="仿宋" w:eastAsia="仿宋" w:cs="仿宋"/>
          <w:sz w:val="24"/>
          <w:szCs w:val="24"/>
        </w:rPr>
        <w:t>法定代表人签字：</w:t>
      </w:r>
    </w:p>
    <w:p w14:paraId="5C95B723">
      <w:pPr>
        <w:snapToGrid w:val="0"/>
        <w:spacing w:line="360" w:lineRule="auto"/>
        <w:ind w:firstLine="972" w:firstLineChars="405"/>
        <w:textAlignment w:val="baseline"/>
        <w:rPr>
          <w:rFonts w:ascii="仿宋" w:hAnsi="仿宋" w:eastAsia="仿宋" w:cs="仿宋"/>
          <w:sz w:val="24"/>
          <w:szCs w:val="24"/>
        </w:rPr>
      </w:pPr>
      <w:r>
        <w:rPr>
          <w:rFonts w:hint="eastAsia" w:ascii="仿宋" w:hAnsi="仿宋" w:eastAsia="仿宋" w:cs="仿宋"/>
          <w:sz w:val="24"/>
          <w:szCs w:val="24"/>
        </w:rPr>
        <w:t>被委托受权人身份证号：</w:t>
      </w:r>
    </w:p>
    <w:p w14:paraId="5D912E41">
      <w:pPr>
        <w:snapToGrid w:val="0"/>
        <w:spacing w:line="360" w:lineRule="auto"/>
        <w:ind w:firstLine="972" w:firstLineChars="405"/>
        <w:textAlignment w:val="baseline"/>
        <w:rPr>
          <w:rFonts w:ascii="仿宋" w:hAnsi="仿宋" w:eastAsia="仿宋" w:cs="仿宋"/>
          <w:sz w:val="24"/>
          <w:szCs w:val="24"/>
        </w:rPr>
      </w:pPr>
      <w:r>
        <w:rPr>
          <w:rFonts w:hint="eastAsia" w:ascii="仿宋" w:hAnsi="仿宋" w:eastAsia="仿宋" w:cs="仿宋"/>
          <w:sz w:val="24"/>
          <w:szCs w:val="24"/>
        </w:rPr>
        <w:t>联系电话：</w:t>
      </w:r>
    </w:p>
    <w:p w14:paraId="323F24E1">
      <w:pPr>
        <w:snapToGrid w:val="0"/>
        <w:spacing w:line="360" w:lineRule="auto"/>
        <w:ind w:firstLine="972" w:firstLineChars="405"/>
        <w:textAlignment w:val="baseline"/>
        <w:rPr>
          <w:rFonts w:ascii="仿宋" w:hAnsi="仿宋" w:eastAsia="仿宋" w:cs="仿宋"/>
          <w:sz w:val="24"/>
          <w:szCs w:val="24"/>
        </w:rPr>
      </w:pPr>
      <w:r>
        <w:rPr>
          <w:rFonts w:hint="eastAsia" w:ascii="仿宋" w:hAnsi="仿宋" w:eastAsia="仿宋" w:cs="仿宋"/>
          <w:sz w:val="24"/>
          <w:szCs w:val="24"/>
        </w:rPr>
        <w:t>被委托受权人签字：</w:t>
      </w:r>
    </w:p>
    <w:p w14:paraId="4BEF956C">
      <w:pPr>
        <w:snapToGrid w:val="0"/>
        <w:spacing w:line="520" w:lineRule="exact"/>
        <w:jc w:val="right"/>
        <w:textAlignment w:val="baseline"/>
        <w:rPr>
          <w:rFonts w:ascii="仿宋" w:hAnsi="仿宋" w:eastAsia="仿宋" w:cs="仿宋"/>
          <w:sz w:val="24"/>
          <w:szCs w:val="24"/>
        </w:rPr>
      </w:pPr>
      <w:r>
        <w:rPr>
          <w:rFonts w:hint="eastAsia" w:ascii="仿宋" w:hAnsi="仿宋" w:eastAsia="仿宋" w:cs="仿宋"/>
          <w:sz w:val="24"/>
          <w:szCs w:val="24"/>
        </w:rPr>
        <w:t>竞争性磋商响应单位：（加盖公章）</w:t>
      </w:r>
    </w:p>
    <w:p w14:paraId="09CC586C">
      <w:pPr>
        <w:snapToGrid w:val="0"/>
        <w:spacing w:line="420" w:lineRule="exact"/>
        <w:ind w:firstLine="484" w:firstLineChars="202"/>
        <w:jc w:val="right"/>
        <w:textAlignment w:val="baseline"/>
        <w:rPr>
          <w:rFonts w:ascii="仿宋" w:hAnsi="仿宋" w:eastAsia="仿宋" w:cs="仿宋"/>
        </w:rPr>
      </w:pPr>
      <w:r>
        <w:rPr>
          <w:rFonts w:hint="eastAsia" w:ascii="仿宋" w:hAnsi="仿宋" w:eastAsia="仿宋" w:cs="仿宋"/>
          <w:sz w:val="24"/>
          <w:szCs w:val="24"/>
        </w:rPr>
        <w:t>年      月     日</w:t>
      </w:r>
    </w:p>
    <w:p w14:paraId="3939DC56">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28BAE383">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0934A184">
      <w:pPr>
        <w:pStyle w:val="14"/>
        <w:spacing w:line="360" w:lineRule="auto"/>
        <w:rPr>
          <w:rFonts w:ascii="仿宋" w:hAnsi="仿宋" w:eastAsia="仿宋"/>
          <w:sz w:val="24"/>
          <w:szCs w:val="24"/>
        </w:rPr>
      </w:pPr>
      <w:r>
        <w:rPr>
          <w:rFonts w:ascii="仿宋" w:hAnsi="仿宋" w:eastAsia="仿宋"/>
          <w:sz w:val="24"/>
          <w:szCs w:val="24"/>
        </w:rPr>
        <w:t xml:space="preserve"> </w:t>
      </w:r>
    </w:p>
    <w:p w14:paraId="1D51A06A">
      <w:pPr>
        <w:pStyle w:val="14"/>
        <w:spacing w:line="360" w:lineRule="auto"/>
        <w:rPr>
          <w:rFonts w:ascii="仿宋" w:hAnsi="仿宋" w:eastAsia="仿宋"/>
          <w:sz w:val="24"/>
          <w:szCs w:val="24"/>
        </w:rPr>
      </w:pPr>
      <w:r>
        <w:rPr>
          <w:rFonts w:ascii="仿宋" w:hAnsi="仿宋" w:eastAsia="仿宋"/>
          <w:sz w:val="24"/>
          <w:szCs w:val="24"/>
        </w:rPr>
        <w:t xml:space="preserve"> </w:t>
      </w:r>
    </w:p>
    <w:p w14:paraId="44FE8746">
      <w:pPr>
        <w:pStyle w:val="14"/>
        <w:snapToGrid w:val="0"/>
        <w:spacing w:line="360" w:lineRule="auto"/>
        <w:jc w:val="left"/>
        <w:rPr>
          <w:rFonts w:ascii="仿宋" w:hAnsi="仿宋" w:eastAsia="仿宋"/>
          <w:sz w:val="24"/>
          <w:szCs w:val="24"/>
        </w:rPr>
      </w:pPr>
      <w:r>
        <w:rPr>
          <w:rFonts w:ascii="仿宋" w:hAnsi="仿宋" w:eastAsia="仿宋"/>
          <w:sz w:val="24"/>
          <w:szCs w:val="24"/>
        </w:rPr>
        <w:t>注：提供被委托授权人的身份证复印件描件正反两面</w:t>
      </w:r>
      <w:r>
        <w:rPr>
          <w:rFonts w:hint="eastAsia" w:ascii="仿宋" w:hAnsi="仿宋" w:eastAsia="仿宋"/>
          <w:sz w:val="24"/>
          <w:szCs w:val="24"/>
        </w:rPr>
        <w:t>和法定代表人的身份证复印件正反面</w:t>
      </w:r>
    </w:p>
    <w:p w14:paraId="12492678">
      <w:pPr>
        <w:pStyle w:val="14"/>
        <w:spacing w:line="360" w:lineRule="auto"/>
        <w:rPr>
          <w:rFonts w:ascii="仿宋" w:hAnsi="仿宋" w:eastAsia="仿宋"/>
          <w:sz w:val="24"/>
          <w:szCs w:val="24"/>
        </w:rPr>
      </w:pPr>
      <w:r>
        <w:rPr>
          <w:rFonts w:ascii="仿宋" w:hAnsi="仿宋" w:eastAsia="仿宋"/>
          <w:sz w:val="24"/>
          <w:szCs w:val="24"/>
        </w:rPr>
        <w:t xml:space="preserve"> </w:t>
      </w:r>
    </w:p>
    <w:p w14:paraId="1A3309D9">
      <w:pPr>
        <w:pStyle w:val="14"/>
        <w:snapToGrid w:val="0"/>
        <w:spacing w:line="600" w:lineRule="exact"/>
        <w:rPr>
          <w:rFonts w:ascii="仿宋" w:hAnsi="仿宋" w:eastAsia="仿宋"/>
          <w:b/>
          <w:bCs/>
          <w:sz w:val="23"/>
          <w:szCs w:val="23"/>
        </w:rPr>
      </w:pPr>
      <w:r>
        <w:rPr>
          <w:rFonts w:ascii="仿宋" w:hAnsi="仿宋" w:eastAsia="仿宋"/>
          <w:b/>
          <w:bCs/>
          <w:sz w:val="23"/>
          <w:szCs w:val="23"/>
        </w:rPr>
        <w:t>注:参加投标时授权代表将身份证原件带至开标现场备查。</w:t>
      </w:r>
    </w:p>
    <w:p w14:paraId="0625BE1B">
      <w:pPr>
        <w:pStyle w:val="14"/>
        <w:snapToGrid w:val="0"/>
        <w:spacing w:line="360" w:lineRule="auto"/>
        <w:jc w:val="center"/>
        <w:outlineLvl w:val="4"/>
        <w:rPr>
          <w:rFonts w:ascii="仿宋" w:hAnsi="仿宋" w:eastAsia="仿宋"/>
          <w:b/>
          <w:bCs/>
          <w:sz w:val="24"/>
          <w:szCs w:val="24"/>
        </w:rPr>
      </w:pPr>
      <w:r>
        <w:rPr>
          <w:rFonts w:ascii="仿宋" w:hAnsi="仿宋" w:eastAsia="仿宋"/>
          <w:b/>
          <w:bCs/>
          <w:sz w:val="24"/>
          <w:szCs w:val="24"/>
        </w:rPr>
        <w:t xml:space="preserve"> </w:t>
      </w:r>
    </w:p>
    <w:p w14:paraId="1243D3E7">
      <w:pPr>
        <w:pStyle w:val="14"/>
        <w:snapToGrid w:val="0"/>
        <w:spacing w:line="360" w:lineRule="auto"/>
        <w:outlineLvl w:val="4"/>
        <w:rPr>
          <w:rFonts w:ascii="仿宋" w:hAnsi="仿宋" w:eastAsia="仿宋"/>
          <w:b/>
          <w:bCs/>
          <w:sz w:val="24"/>
          <w:szCs w:val="24"/>
        </w:rPr>
      </w:pPr>
      <w:r>
        <w:rPr>
          <w:rFonts w:ascii="仿宋" w:hAnsi="仿宋" w:eastAsia="仿宋"/>
          <w:b/>
          <w:bCs/>
          <w:sz w:val="24"/>
          <w:szCs w:val="24"/>
        </w:rPr>
        <w:t xml:space="preserve"> </w:t>
      </w:r>
    </w:p>
    <w:p w14:paraId="11F94017">
      <w:pPr>
        <w:pStyle w:val="2"/>
        <w:spacing w:before="280" w:line="360" w:lineRule="auto"/>
        <w:ind w:left="400"/>
        <w:rPr>
          <w:rFonts w:ascii="仿宋" w:hAnsi="仿宋" w:eastAsia="仿宋"/>
          <w:sz w:val="24"/>
          <w:szCs w:val="24"/>
        </w:rPr>
      </w:pPr>
      <w:r>
        <w:br w:type="page"/>
      </w:r>
    </w:p>
    <w:p w14:paraId="42C1C794">
      <w:pPr>
        <w:pStyle w:val="14"/>
        <w:snapToGrid w:val="0"/>
        <w:spacing w:line="360" w:lineRule="auto"/>
        <w:jc w:val="center"/>
        <w:outlineLvl w:val="4"/>
        <w:rPr>
          <w:rFonts w:ascii="仿宋" w:hAnsi="仿宋" w:eastAsia="仿宋"/>
          <w:b/>
          <w:bCs/>
          <w:sz w:val="28"/>
          <w:szCs w:val="28"/>
        </w:rPr>
      </w:pPr>
      <w:r>
        <w:rPr>
          <w:rFonts w:ascii="仿宋" w:hAnsi="仿宋" w:eastAsia="仿宋"/>
          <w:b/>
          <w:bCs/>
          <w:sz w:val="28"/>
          <w:szCs w:val="28"/>
        </w:rPr>
        <w:t>3、供应商响应文件函</w:t>
      </w:r>
    </w:p>
    <w:p w14:paraId="78F41A17">
      <w:pPr>
        <w:pStyle w:val="14"/>
        <w:snapToGrid w:val="0"/>
        <w:spacing w:line="360" w:lineRule="auto"/>
        <w:outlineLvl w:val="4"/>
        <w:rPr>
          <w:rFonts w:ascii="仿宋" w:hAnsi="仿宋" w:eastAsia="仿宋"/>
          <w:sz w:val="24"/>
          <w:szCs w:val="24"/>
        </w:rPr>
      </w:pPr>
      <w:r>
        <w:rPr>
          <w:rFonts w:ascii="仿宋" w:hAnsi="仿宋" w:eastAsia="仿宋"/>
          <w:sz w:val="24"/>
          <w:szCs w:val="24"/>
        </w:rPr>
        <w:t>致：</w:t>
      </w:r>
    </w:p>
    <w:p w14:paraId="71C6BC35">
      <w:pPr>
        <w:pStyle w:val="14"/>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根据贵方的号磋商文件，正式授权下述签字人_________ (姓名和职务)代表我方______________（供应商的名称），全权处理本次项目磋商采购的有关事宜。据此函，__________（签字人）兹宣布同意如下：</w:t>
      </w:r>
    </w:p>
    <w:p w14:paraId="074BE53E">
      <w:pPr>
        <w:pStyle w:val="14"/>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（1）按磋商文件规定的各项要求，向买方提供所需服务</w:t>
      </w:r>
    </w:p>
    <w:p w14:paraId="1E9242B3">
      <w:pPr>
        <w:pStyle w:val="14"/>
        <w:snapToGrid w:val="0"/>
        <w:spacing w:line="360" w:lineRule="auto"/>
        <w:ind w:firstLine="482" w:firstLineChars="200"/>
        <w:outlineLvl w:val="4"/>
        <w:rPr>
          <w:rFonts w:ascii="仿宋" w:hAnsi="仿宋" w:eastAsia="仿宋"/>
          <w:b/>
          <w:bCs/>
          <w:sz w:val="24"/>
          <w:szCs w:val="24"/>
        </w:rPr>
      </w:pPr>
      <w:r>
        <w:rPr>
          <w:rFonts w:ascii="仿宋" w:hAnsi="仿宋" w:eastAsia="仿宋"/>
          <w:b/>
          <w:bCs/>
          <w:sz w:val="24"/>
          <w:szCs w:val="24"/>
        </w:rPr>
        <w:t>（2）我们已详细审核全部磋商文件及其有效补充文件，我们知道必须放弃提出含糊不清或误解问题的权利。</w:t>
      </w:r>
    </w:p>
    <w:p w14:paraId="4C0EEB13">
      <w:pPr>
        <w:pStyle w:val="14"/>
        <w:snapToGrid w:val="0"/>
        <w:spacing w:line="360" w:lineRule="auto"/>
        <w:ind w:firstLine="482" w:firstLineChars="200"/>
        <w:outlineLvl w:val="4"/>
        <w:rPr>
          <w:rFonts w:ascii="仿宋" w:hAnsi="仿宋" w:eastAsia="仿宋"/>
          <w:b/>
          <w:bCs/>
          <w:sz w:val="24"/>
          <w:szCs w:val="24"/>
        </w:rPr>
      </w:pPr>
      <w:r>
        <w:rPr>
          <w:rFonts w:ascii="仿宋" w:hAnsi="仿宋" w:eastAsia="仿宋"/>
          <w:b/>
          <w:bCs/>
          <w:sz w:val="24"/>
          <w:szCs w:val="24"/>
        </w:rPr>
        <w:t>（3）我们同意从规定的响应文件接收截止时间起遵循本响应文件，并在规定的磋商有效期期满之前均具有约束力。</w:t>
      </w:r>
    </w:p>
    <w:p w14:paraId="5E2D24E4">
      <w:pPr>
        <w:pStyle w:val="14"/>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（4）同意向贵方提供贵方可能另外要求的与磋商采购有关的任何证据或资料，并保证我方已提供和将要提供的文件是真实的、准确的。</w:t>
      </w:r>
    </w:p>
    <w:p w14:paraId="7D98B69A">
      <w:pPr>
        <w:pStyle w:val="14"/>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（5）一旦我方成交，我方将根据磋商文件的规定，严格履行合同的责任和义务，并保证在磋商文件规定的时间完成项目，交付买方验收、使用。</w:t>
      </w:r>
    </w:p>
    <w:p w14:paraId="6DF03AF2">
      <w:pPr>
        <w:pStyle w:val="14"/>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（6）遵守磋商文件中要求的收费项目和标准。</w:t>
      </w:r>
    </w:p>
    <w:p w14:paraId="294D56A6">
      <w:pPr>
        <w:pStyle w:val="14"/>
        <w:snapToGrid w:val="0"/>
        <w:spacing w:line="360" w:lineRule="auto"/>
        <w:ind w:firstLine="480" w:firstLineChars="200"/>
        <w:outlineLvl w:val="4"/>
        <w:rPr>
          <w:rFonts w:ascii="仿宋" w:hAnsi="仿宋" w:eastAsia="仿宋"/>
          <w:b/>
          <w:bCs/>
          <w:sz w:val="24"/>
          <w:szCs w:val="24"/>
        </w:rPr>
      </w:pPr>
      <w:r>
        <w:rPr>
          <w:rFonts w:ascii="仿宋" w:hAnsi="仿宋" w:eastAsia="仿宋"/>
          <w:sz w:val="24"/>
          <w:szCs w:val="24"/>
        </w:rPr>
        <w:t>（7）与本磋商采购有关的正式通讯地址为：</w:t>
      </w:r>
    </w:p>
    <w:p w14:paraId="53C5A629">
      <w:pPr>
        <w:pStyle w:val="24"/>
        <w:spacing w:line="360" w:lineRule="auto"/>
        <w:rPr>
          <w:rFonts w:ascii="仿宋" w:hAnsi="仿宋" w:eastAsia="仿宋"/>
          <w:b w:val="0"/>
          <w:bCs w:val="0"/>
          <w:sz w:val="24"/>
          <w:szCs w:val="24"/>
        </w:rPr>
      </w:pPr>
      <w:r>
        <w:rPr>
          <w:rFonts w:ascii="仿宋" w:hAnsi="仿宋" w:eastAsia="仿宋"/>
          <w:b w:val="0"/>
          <w:bCs w:val="0"/>
          <w:sz w:val="24"/>
          <w:szCs w:val="24"/>
        </w:rPr>
        <w:t>地址：邮编：</w:t>
      </w:r>
    </w:p>
    <w:p w14:paraId="70EBFD75">
      <w:pPr>
        <w:pStyle w:val="24"/>
        <w:spacing w:line="360" w:lineRule="auto"/>
        <w:rPr>
          <w:rFonts w:ascii="仿宋" w:hAnsi="仿宋" w:eastAsia="仿宋"/>
          <w:b w:val="0"/>
          <w:bCs w:val="0"/>
          <w:sz w:val="24"/>
          <w:szCs w:val="24"/>
        </w:rPr>
      </w:pPr>
      <w:r>
        <w:rPr>
          <w:rFonts w:ascii="仿宋" w:hAnsi="仿宋" w:eastAsia="仿宋"/>
          <w:b w:val="0"/>
          <w:bCs w:val="0"/>
          <w:sz w:val="24"/>
          <w:szCs w:val="24"/>
        </w:rPr>
        <w:t>电话：传真：</w:t>
      </w:r>
    </w:p>
    <w:p w14:paraId="5D2EBA7A">
      <w:pPr>
        <w:pStyle w:val="24"/>
        <w:spacing w:line="360" w:lineRule="auto"/>
        <w:rPr>
          <w:rFonts w:ascii="仿宋" w:hAnsi="仿宋" w:eastAsia="仿宋"/>
          <w:b w:val="0"/>
          <w:bCs w:val="0"/>
          <w:sz w:val="24"/>
          <w:szCs w:val="24"/>
        </w:rPr>
      </w:pPr>
      <w:r>
        <w:rPr>
          <w:rFonts w:ascii="仿宋" w:hAnsi="仿宋" w:eastAsia="仿宋"/>
          <w:b w:val="0"/>
          <w:bCs w:val="0"/>
          <w:sz w:val="24"/>
          <w:szCs w:val="24"/>
        </w:rPr>
        <w:t>供应商开户行：账户：</w:t>
      </w:r>
    </w:p>
    <w:p w14:paraId="01959AE8">
      <w:pPr>
        <w:pStyle w:val="24"/>
        <w:spacing w:line="360" w:lineRule="auto"/>
        <w:rPr>
          <w:rFonts w:ascii="仿宋" w:hAnsi="仿宋" w:eastAsia="仿宋"/>
          <w:b w:val="0"/>
          <w:bCs w:val="0"/>
          <w:sz w:val="24"/>
          <w:szCs w:val="24"/>
        </w:rPr>
      </w:pPr>
      <w:r>
        <w:rPr>
          <w:rFonts w:ascii="仿宋" w:hAnsi="仿宋" w:eastAsia="仿宋"/>
          <w:b w:val="0"/>
          <w:bCs w:val="0"/>
          <w:sz w:val="24"/>
          <w:szCs w:val="24"/>
        </w:rPr>
        <w:t>法定代表人或授权代表姓名（签字）：联系电话：</w:t>
      </w:r>
    </w:p>
    <w:p w14:paraId="0AA9FAC5">
      <w:pPr>
        <w:pStyle w:val="24"/>
        <w:spacing w:line="360" w:lineRule="auto"/>
        <w:rPr>
          <w:rFonts w:ascii="仿宋" w:hAnsi="仿宋" w:eastAsia="仿宋"/>
          <w:b w:val="0"/>
          <w:bCs w:val="0"/>
          <w:sz w:val="24"/>
          <w:szCs w:val="24"/>
        </w:rPr>
      </w:pPr>
      <w:r>
        <w:rPr>
          <w:rFonts w:ascii="仿宋" w:hAnsi="仿宋" w:eastAsia="仿宋"/>
          <w:b w:val="0"/>
          <w:bCs w:val="0"/>
          <w:sz w:val="24"/>
          <w:szCs w:val="24"/>
        </w:rPr>
        <w:t>供应商名称（公章）：日期：________年____月____日</w:t>
      </w:r>
    </w:p>
    <w:p w14:paraId="3C997255">
      <w:pPr>
        <w:pStyle w:val="14"/>
        <w:widowControl/>
        <w:jc w:val="left"/>
        <w:rPr>
          <w:rFonts w:ascii="仿宋" w:hAnsi="仿宋" w:eastAsia="仿宋"/>
          <w:b/>
          <w:bCs/>
          <w:sz w:val="36"/>
          <w:szCs w:val="36"/>
        </w:rPr>
      </w:pPr>
      <w:r>
        <w:br w:type="page"/>
      </w:r>
    </w:p>
    <w:p w14:paraId="18F6B37A">
      <w:pPr>
        <w:pStyle w:val="14"/>
        <w:snapToGrid w:val="0"/>
        <w:spacing w:line="360" w:lineRule="auto"/>
        <w:jc w:val="center"/>
        <w:outlineLvl w:val="4"/>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供应商符合规定条件的声明函</w:t>
      </w:r>
    </w:p>
    <w:p w14:paraId="66A0F07F">
      <w:pPr>
        <w:pStyle w:val="14"/>
        <w:snapToGrid w:val="0"/>
        <w:spacing w:line="360" w:lineRule="auto"/>
        <w:outlineLvl w:val="4"/>
        <w:rPr>
          <w:rFonts w:ascii="仿宋" w:hAnsi="仿宋" w:eastAsia="仿宋"/>
          <w:sz w:val="24"/>
          <w:szCs w:val="24"/>
        </w:rPr>
      </w:pPr>
    </w:p>
    <w:p w14:paraId="6795B3E0">
      <w:pPr>
        <w:pStyle w:val="14"/>
        <w:snapToGrid w:val="0"/>
        <w:spacing w:line="360" w:lineRule="auto"/>
        <w:outlineLvl w:val="4"/>
        <w:rPr>
          <w:rFonts w:ascii="仿宋" w:hAnsi="仿宋" w:eastAsia="仿宋"/>
          <w:sz w:val="24"/>
          <w:szCs w:val="24"/>
        </w:rPr>
      </w:pPr>
      <w:r>
        <w:rPr>
          <w:rFonts w:ascii="仿宋" w:hAnsi="仿宋" w:eastAsia="仿宋"/>
          <w:sz w:val="24"/>
          <w:szCs w:val="24"/>
        </w:rPr>
        <w:t>致：</w:t>
      </w:r>
    </w:p>
    <w:p w14:paraId="70B5BA1F">
      <w:pPr>
        <w:adjustRightInd w:val="0"/>
        <w:snapToGrid w:val="0"/>
        <w:spacing w:line="360" w:lineRule="auto"/>
        <w:ind w:firstLine="480" w:firstLineChars="200"/>
        <w:rPr>
          <w:rFonts w:ascii="仿宋" w:hAnsi="仿宋" w:eastAsia="仿宋"/>
          <w:b/>
          <w:bCs/>
          <w:kern w:val="2"/>
          <w:sz w:val="24"/>
          <w:szCs w:val="21"/>
          <w:lang w:bidi="ar-SA"/>
        </w:rPr>
      </w:pPr>
      <w:r>
        <w:rPr>
          <w:rFonts w:hint="eastAsia" w:ascii="仿宋" w:hAnsi="仿宋" w:eastAsia="仿宋"/>
          <w:bCs/>
          <w:kern w:val="2"/>
          <w:sz w:val="24"/>
          <w:szCs w:val="21"/>
          <w:lang w:bidi="ar-SA"/>
        </w:rPr>
        <w:t>我单位参加</w:t>
      </w:r>
      <w:r>
        <w:rPr>
          <w:rFonts w:hint="eastAsia" w:ascii="仿宋" w:hAnsi="仿宋" w:eastAsia="仿宋"/>
          <w:bCs/>
          <w:kern w:val="2"/>
          <w:sz w:val="24"/>
          <w:szCs w:val="21"/>
          <w:u w:val="single"/>
          <w:lang w:bidi="ar-SA"/>
        </w:rPr>
        <w:t>________________ _</w:t>
      </w:r>
      <w:r>
        <w:rPr>
          <w:rFonts w:hint="eastAsia" w:ascii="仿宋" w:hAnsi="仿宋" w:eastAsia="仿宋"/>
          <w:bCs/>
          <w:kern w:val="2"/>
          <w:sz w:val="24"/>
          <w:szCs w:val="21"/>
          <w:lang w:bidi="ar-SA"/>
        </w:rPr>
        <w:t>（项目名称），</w:t>
      </w:r>
      <w:r>
        <w:rPr>
          <w:rFonts w:hint="eastAsia" w:ascii="仿宋" w:hAnsi="仿宋" w:eastAsia="仿宋"/>
          <w:bCs/>
          <w:kern w:val="2"/>
          <w:sz w:val="24"/>
          <w:szCs w:val="21"/>
          <w:u w:val="single"/>
          <w:lang w:bidi="ar-SA"/>
        </w:rPr>
        <w:t>_______ __________</w:t>
      </w:r>
      <w:r>
        <w:rPr>
          <w:rFonts w:hint="eastAsia" w:ascii="仿宋" w:hAnsi="仿宋" w:eastAsia="仿宋"/>
          <w:bCs/>
          <w:kern w:val="2"/>
          <w:sz w:val="24"/>
          <w:szCs w:val="21"/>
          <w:lang w:bidi="ar-SA"/>
        </w:rPr>
        <w:t>（项目编号）竞争性磋商活动。针对规定做出如下声明：</w:t>
      </w:r>
    </w:p>
    <w:p w14:paraId="7C1B45D3">
      <w:pPr>
        <w:adjustRightInd w:val="0"/>
        <w:snapToGrid w:val="0"/>
        <w:spacing w:line="360" w:lineRule="auto"/>
        <w:ind w:firstLine="480" w:firstLineChars="200"/>
        <w:rPr>
          <w:rFonts w:ascii="仿宋" w:hAnsi="仿宋" w:eastAsia="仿宋"/>
          <w:kern w:val="2"/>
          <w:sz w:val="24"/>
          <w:szCs w:val="21"/>
          <w:lang w:bidi="ar-SA"/>
        </w:rPr>
      </w:pPr>
      <w:r>
        <w:rPr>
          <w:rFonts w:hint="eastAsia" w:ascii="仿宋" w:hAnsi="仿宋" w:eastAsia="仿宋"/>
          <w:bCs/>
          <w:kern w:val="2"/>
          <w:sz w:val="24"/>
          <w:szCs w:val="21"/>
          <w:lang w:bidi="ar-SA"/>
        </w:rPr>
        <w:t>1.我单位具有独立承担民事责任的能力；</w:t>
      </w:r>
    </w:p>
    <w:p w14:paraId="56585D7B">
      <w:pPr>
        <w:adjustRightInd w:val="0"/>
        <w:snapToGrid w:val="0"/>
        <w:spacing w:line="360" w:lineRule="auto"/>
        <w:ind w:firstLine="480" w:firstLineChars="200"/>
        <w:rPr>
          <w:rFonts w:ascii="仿宋" w:hAnsi="仿宋" w:eastAsia="仿宋"/>
          <w:kern w:val="2"/>
          <w:sz w:val="24"/>
          <w:szCs w:val="21"/>
          <w:lang w:bidi="ar-SA"/>
        </w:rPr>
      </w:pPr>
      <w:r>
        <w:rPr>
          <w:rFonts w:hint="eastAsia" w:ascii="仿宋" w:hAnsi="仿宋" w:eastAsia="仿宋"/>
          <w:kern w:val="2"/>
          <w:sz w:val="24"/>
          <w:szCs w:val="21"/>
          <w:lang w:bidi="ar-SA"/>
        </w:rPr>
        <w:t>2.我单位具有良好的商业信誉和健全的财务会计制度；</w:t>
      </w:r>
    </w:p>
    <w:p w14:paraId="58A89807">
      <w:pPr>
        <w:adjustRightInd w:val="0"/>
        <w:snapToGrid w:val="0"/>
        <w:spacing w:line="360" w:lineRule="auto"/>
        <w:ind w:firstLine="480" w:firstLineChars="200"/>
        <w:rPr>
          <w:rFonts w:ascii="仿宋" w:hAnsi="仿宋" w:eastAsia="仿宋"/>
          <w:kern w:val="2"/>
          <w:sz w:val="24"/>
          <w:szCs w:val="21"/>
          <w:lang w:bidi="ar-SA"/>
        </w:rPr>
      </w:pPr>
      <w:r>
        <w:rPr>
          <w:rFonts w:hint="eastAsia" w:ascii="仿宋" w:hAnsi="仿宋" w:eastAsia="仿宋"/>
          <w:kern w:val="2"/>
          <w:sz w:val="24"/>
          <w:szCs w:val="21"/>
          <w:lang w:bidi="ar-SA"/>
        </w:rPr>
        <w:t>3.我单位具有履行合同所必需的设备和专业技术能力；</w:t>
      </w:r>
    </w:p>
    <w:p w14:paraId="41393D52">
      <w:pPr>
        <w:adjustRightInd w:val="0"/>
        <w:snapToGrid w:val="0"/>
        <w:spacing w:line="360" w:lineRule="auto"/>
        <w:ind w:firstLine="480" w:firstLineChars="200"/>
        <w:rPr>
          <w:rFonts w:ascii="仿宋" w:hAnsi="仿宋" w:eastAsia="仿宋"/>
          <w:kern w:val="2"/>
          <w:sz w:val="24"/>
          <w:szCs w:val="24"/>
          <w:lang w:bidi="ar-SA"/>
        </w:rPr>
      </w:pPr>
      <w:r>
        <w:rPr>
          <w:rFonts w:hint="eastAsia" w:ascii="仿宋" w:hAnsi="仿宋" w:eastAsia="仿宋"/>
          <w:kern w:val="2"/>
          <w:sz w:val="24"/>
          <w:szCs w:val="21"/>
          <w:lang w:bidi="ar-SA"/>
        </w:rPr>
        <w:t>4.我单位有</w:t>
      </w:r>
      <w:r>
        <w:rPr>
          <w:rFonts w:hint="eastAsia" w:ascii="仿宋" w:hAnsi="仿宋" w:eastAsia="仿宋"/>
          <w:kern w:val="2"/>
          <w:sz w:val="24"/>
          <w:szCs w:val="24"/>
          <w:lang w:bidi="ar-SA"/>
        </w:rPr>
        <w:t>依法缴纳税收和社会保障资金的良好记录；</w:t>
      </w:r>
    </w:p>
    <w:p w14:paraId="420376F7">
      <w:pPr>
        <w:adjustRightInd w:val="0"/>
        <w:snapToGrid w:val="0"/>
        <w:spacing w:line="360" w:lineRule="auto"/>
        <w:ind w:firstLine="480" w:firstLineChars="200"/>
        <w:rPr>
          <w:rFonts w:ascii="仿宋" w:hAnsi="仿宋" w:eastAsia="仿宋"/>
          <w:kern w:val="2"/>
          <w:sz w:val="24"/>
          <w:szCs w:val="21"/>
          <w:lang w:bidi="ar-SA"/>
        </w:rPr>
      </w:pPr>
      <w:r>
        <w:rPr>
          <w:rFonts w:hint="eastAsia" w:ascii="仿宋" w:hAnsi="仿宋" w:eastAsia="仿宋"/>
          <w:kern w:val="2"/>
          <w:sz w:val="24"/>
          <w:szCs w:val="24"/>
          <w:lang w:bidi="ar-SA"/>
        </w:rPr>
        <w:t>5.我单位参加采购活动前</w:t>
      </w:r>
      <w:r>
        <w:rPr>
          <w:rFonts w:hint="eastAsia" w:ascii="仿宋" w:hAnsi="仿宋" w:eastAsia="仿宋"/>
          <w:kern w:val="2"/>
          <w:sz w:val="24"/>
          <w:szCs w:val="21"/>
          <w:lang w:bidi="ar-SA"/>
        </w:rPr>
        <w:t>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0C420A">
      <w:pPr>
        <w:adjustRightInd w:val="0"/>
        <w:snapToGrid w:val="0"/>
        <w:spacing w:line="360" w:lineRule="auto"/>
        <w:ind w:firstLine="480" w:firstLineChars="200"/>
        <w:rPr>
          <w:rFonts w:ascii="仿宋" w:hAnsi="仿宋" w:eastAsia="仿宋"/>
          <w:bCs/>
          <w:kern w:val="2"/>
          <w:sz w:val="24"/>
          <w:szCs w:val="21"/>
          <w:lang w:bidi="ar-SA"/>
        </w:rPr>
      </w:pPr>
      <w:r>
        <w:rPr>
          <w:rFonts w:hint="eastAsia" w:ascii="仿宋" w:hAnsi="仿宋" w:eastAsia="仿宋"/>
          <w:kern w:val="2"/>
          <w:sz w:val="24"/>
          <w:szCs w:val="21"/>
          <w:lang w:bidi="ar-SA"/>
        </w:rPr>
        <w:t>6.我单位满足法律、行政法规规定的其他条件。</w:t>
      </w:r>
    </w:p>
    <w:p w14:paraId="54F68BAC">
      <w:pPr>
        <w:adjustRightInd w:val="0"/>
        <w:snapToGrid w:val="0"/>
        <w:spacing w:line="360" w:lineRule="auto"/>
        <w:rPr>
          <w:rFonts w:ascii="仿宋" w:hAnsi="仿宋" w:eastAsia="仿宋"/>
          <w:kern w:val="2"/>
          <w:sz w:val="28"/>
          <w:lang w:bidi="ar-SA"/>
        </w:rPr>
      </w:pPr>
    </w:p>
    <w:p w14:paraId="4F8E0B4F">
      <w:pPr>
        <w:adjustRightInd w:val="0"/>
        <w:snapToGrid w:val="0"/>
        <w:spacing w:line="360" w:lineRule="auto"/>
        <w:ind w:firstLine="480" w:firstLineChars="200"/>
        <w:jc w:val="right"/>
        <w:rPr>
          <w:rFonts w:ascii="仿宋" w:hAnsi="仿宋" w:eastAsia="仿宋" w:cs="宋体"/>
          <w:kern w:val="2"/>
          <w:sz w:val="24"/>
          <w:szCs w:val="24"/>
          <w:lang w:bidi="ar-SA"/>
        </w:rPr>
      </w:pPr>
    </w:p>
    <w:p w14:paraId="0D61A20F">
      <w:pPr>
        <w:adjustRightInd w:val="0"/>
        <w:snapToGrid w:val="0"/>
        <w:spacing w:line="360" w:lineRule="auto"/>
        <w:ind w:firstLine="480" w:firstLineChars="200"/>
        <w:jc w:val="right"/>
        <w:rPr>
          <w:rFonts w:ascii="仿宋" w:hAnsi="仿宋" w:eastAsia="仿宋" w:cs="宋体"/>
          <w:kern w:val="2"/>
          <w:sz w:val="24"/>
          <w:szCs w:val="24"/>
          <w:lang w:bidi="ar-SA"/>
        </w:rPr>
      </w:pPr>
      <w:r>
        <w:rPr>
          <w:rFonts w:hint="eastAsia" w:ascii="仿宋" w:hAnsi="仿宋" w:eastAsia="仿宋" w:cs="宋体"/>
          <w:kern w:val="2"/>
          <w:sz w:val="24"/>
          <w:szCs w:val="24"/>
          <w:lang w:bidi="ar-SA"/>
        </w:rPr>
        <w:t>磋商供应商：</w:t>
      </w:r>
      <w:r>
        <w:rPr>
          <w:rFonts w:hint="eastAsia" w:ascii="仿宋" w:hAnsi="仿宋" w:eastAsia="仿宋" w:cs="宋体"/>
          <w:kern w:val="2"/>
          <w:sz w:val="24"/>
          <w:szCs w:val="24"/>
          <w:u w:val="single"/>
          <w:lang w:bidi="ar-SA"/>
        </w:rPr>
        <w:t xml:space="preserve">                  </w:t>
      </w:r>
      <w:r>
        <w:rPr>
          <w:rFonts w:hint="eastAsia" w:ascii="仿宋" w:hAnsi="仿宋" w:eastAsia="仿宋" w:cs="宋体"/>
          <w:kern w:val="2"/>
          <w:sz w:val="24"/>
          <w:szCs w:val="24"/>
          <w:lang w:bidi="ar-SA"/>
        </w:rPr>
        <w:t>（加盖公章）</w:t>
      </w:r>
    </w:p>
    <w:p w14:paraId="12D3BF65">
      <w:pPr>
        <w:adjustRightInd w:val="0"/>
        <w:snapToGrid w:val="0"/>
        <w:spacing w:line="360" w:lineRule="auto"/>
        <w:ind w:firstLine="480" w:firstLineChars="200"/>
        <w:jc w:val="right"/>
        <w:rPr>
          <w:rFonts w:ascii="仿宋" w:hAnsi="仿宋" w:eastAsia="仿宋" w:cs="宋体"/>
          <w:kern w:val="2"/>
          <w:sz w:val="24"/>
          <w:szCs w:val="24"/>
          <w:lang w:bidi="ar-SA"/>
        </w:rPr>
      </w:pPr>
      <w:r>
        <w:rPr>
          <w:rFonts w:hint="eastAsia" w:ascii="仿宋" w:hAnsi="仿宋" w:eastAsia="仿宋" w:cs="宋体"/>
          <w:kern w:val="2"/>
          <w:sz w:val="24"/>
          <w:szCs w:val="24"/>
          <w:lang w:bidi="ar-SA"/>
        </w:rPr>
        <w:t>法定代表人或被授权人：</w:t>
      </w:r>
      <w:r>
        <w:rPr>
          <w:rFonts w:hint="eastAsia" w:ascii="仿宋" w:hAnsi="仿宋" w:eastAsia="仿宋" w:cs="宋体"/>
          <w:kern w:val="2"/>
          <w:sz w:val="24"/>
          <w:szCs w:val="24"/>
          <w:u w:val="single"/>
          <w:lang w:bidi="ar-SA"/>
        </w:rPr>
        <w:t xml:space="preserve">          </w:t>
      </w:r>
      <w:r>
        <w:rPr>
          <w:rFonts w:hint="eastAsia" w:ascii="仿宋" w:hAnsi="仿宋" w:eastAsia="仿宋" w:cs="宋体"/>
          <w:kern w:val="2"/>
          <w:sz w:val="24"/>
          <w:szCs w:val="24"/>
          <w:lang w:bidi="ar-SA"/>
        </w:rPr>
        <w:t>（签字或盖章）</w:t>
      </w:r>
    </w:p>
    <w:p w14:paraId="73424FF4">
      <w:pPr>
        <w:adjustRightInd w:val="0"/>
        <w:snapToGrid w:val="0"/>
        <w:spacing w:line="360" w:lineRule="auto"/>
        <w:ind w:firstLine="1320" w:firstLineChars="550"/>
        <w:jc w:val="right"/>
        <w:rPr>
          <w:rFonts w:ascii="仿宋" w:hAnsi="仿宋" w:eastAsia="仿宋" w:cs="宋体"/>
          <w:kern w:val="2"/>
          <w:sz w:val="24"/>
          <w:szCs w:val="24"/>
          <w:lang w:bidi="ar-SA"/>
        </w:rPr>
      </w:pPr>
      <w:r>
        <w:rPr>
          <w:rFonts w:hint="eastAsia" w:ascii="仿宋" w:hAnsi="仿宋" w:eastAsia="仿宋" w:cs="宋体"/>
          <w:kern w:val="2"/>
          <w:sz w:val="24"/>
          <w:szCs w:val="24"/>
          <w:lang w:bidi="ar-SA"/>
        </w:rPr>
        <w:t>年      月     日</w:t>
      </w:r>
    </w:p>
    <w:p w14:paraId="7142E354">
      <w:pPr>
        <w:pStyle w:val="14"/>
        <w:widowControl/>
        <w:spacing w:line="360" w:lineRule="auto"/>
        <w:jc w:val="left"/>
        <w:rPr>
          <w:rFonts w:ascii="仿宋" w:hAnsi="仿宋" w:eastAsia="仿宋"/>
          <w:sz w:val="24"/>
          <w:szCs w:val="24"/>
        </w:rPr>
      </w:pPr>
      <w:r>
        <w:br w:type="page"/>
      </w:r>
    </w:p>
    <w:p w14:paraId="46E3CF67">
      <w:pPr>
        <w:pStyle w:val="14"/>
        <w:spacing w:line="360" w:lineRule="auto"/>
        <w:jc w:val="center"/>
        <w:rPr>
          <w:rFonts w:ascii="仿宋" w:hAnsi="仿宋" w:eastAsia="仿宋"/>
          <w:b/>
          <w:bCs/>
          <w:sz w:val="28"/>
          <w:szCs w:val="28"/>
        </w:rPr>
      </w:pPr>
      <w:r>
        <w:rPr>
          <w:rFonts w:ascii="仿宋" w:hAnsi="仿宋" w:eastAsia="仿宋"/>
          <w:b/>
          <w:bCs/>
          <w:sz w:val="28"/>
          <w:szCs w:val="28"/>
        </w:rPr>
        <w:t>第二部分技术</w:t>
      </w:r>
      <w:r>
        <w:rPr>
          <w:rFonts w:hint="eastAsia" w:ascii="仿宋" w:hAnsi="仿宋" w:eastAsia="仿宋"/>
          <w:b/>
          <w:bCs/>
          <w:sz w:val="28"/>
          <w:szCs w:val="28"/>
        </w:rPr>
        <w:t>响应文件</w:t>
      </w:r>
      <w:r>
        <w:rPr>
          <w:rFonts w:ascii="仿宋" w:hAnsi="仿宋" w:eastAsia="仿宋"/>
          <w:b/>
          <w:bCs/>
          <w:sz w:val="28"/>
          <w:szCs w:val="28"/>
        </w:rPr>
        <w:t>主要内容（单独密封）</w:t>
      </w:r>
    </w:p>
    <w:p w14:paraId="24E6768E">
      <w:pPr>
        <w:pStyle w:val="14"/>
        <w:spacing w:line="360" w:lineRule="auto"/>
        <w:jc w:val="center"/>
        <w:rPr>
          <w:rFonts w:ascii="仿宋" w:hAnsi="仿宋" w:eastAsia="仿宋"/>
          <w:sz w:val="24"/>
          <w:szCs w:val="24"/>
        </w:rPr>
      </w:pPr>
      <w:r>
        <w:rPr>
          <w:rFonts w:ascii="仿宋" w:hAnsi="仿宋" w:eastAsia="仿宋"/>
          <w:sz w:val="24"/>
          <w:szCs w:val="24"/>
        </w:rPr>
        <w:t xml:space="preserve"> </w:t>
      </w:r>
    </w:p>
    <w:p w14:paraId="0D1D9DF3">
      <w:pPr>
        <w:pStyle w:val="25"/>
        <w:spacing w:line="360" w:lineRule="auto"/>
        <w:ind w:left="420"/>
        <w:jc w:val="center"/>
        <w:rPr>
          <w:rFonts w:ascii="仿宋" w:hAnsi="仿宋" w:eastAsia="仿宋"/>
          <w:sz w:val="24"/>
          <w:szCs w:val="24"/>
        </w:rPr>
      </w:pPr>
      <w:r>
        <w:rPr>
          <w:rFonts w:ascii="仿宋" w:hAnsi="仿宋" w:eastAsia="仿宋"/>
          <w:sz w:val="24"/>
          <w:szCs w:val="24"/>
        </w:rPr>
        <w:t>目录</w:t>
      </w:r>
    </w:p>
    <w:p w14:paraId="3802B30E">
      <w:pPr>
        <w:pStyle w:val="25"/>
        <w:spacing w:line="360" w:lineRule="auto"/>
        <w:ind w:left="420"/>
        <w:jc w:val="center"/>
        <w:rPr>
          <w:rFonts w:ascii="仿宋" w:hAnsi="仿宋" w:eastAsia="仿宋"/>
          <w:sz w:val="24"/>
          <w:szCs w:val="24"/>
        </w:rPr>
      </w:pPr>
      <w:r>
        <w:rPr>
          <w:rFonts w:ascii="仿宋" w:hAnsi="仿宋" w:eastAsia="仿宋"/>
          <w:sz w:val="24"/>
          <w:szCs w:val="24"/>
        </w:rPr>
        <w:t xml:space="preserve"> </w:t>
      </w:r>
    </w:p>
    <w:p w14:paraId="74DDF080">
      <w:pPr>
        <w:pStyle w:val="14"/>
        <w:snapToGrid w:val="0"/>
        <w:spacing w:line="360" w:lineRule="auto"/>
        <w:rPr>
          <w:rFonts w:ascii="仿宋" w:hAnsi="仿宋" w:eastAsia="仿宋"/>
          <w:b/>
          <w:bCs/>
          <w:kern w:val="0"/>
          <w:sz w:val="24"/>
          <w:szCs w:val="24"/>
        </w:rPr>
      </w:pPr>
      <w:r>
        <w:rPr>
          <w:rFonts w:ascii="仿宋" w:hAnsi="仿宋" w:eastAsia="仿宋"/>
          <w:b/>
          <w:bCs/>
          <w:kern w:val="0"/>
          <w:sz w:val="24"/>
          <w:szCs w:val="24"/>
        </w:rPr>
        <w:t>技术</w:t>
      </w:r>
      <w:r>
        <w:rPr>
          <w:rFonts w:hint="eastAsia" w:ascii="仿宋" w:hAnsi="仿宋" w:eastAsia="仿宋"/>
          <w:b/>
          <w:bCs/>
          <w:kern w:val="0"/>
          <w:sz w:val="24"/>
          <w:szCs w:val="24"/>
        </w:rPr>
        <w:t>响应</w:t>
      </w:r>
      <w:r>
        <w:rPr>
          <w:rFonts w:ascii="仿宋" w:hAnsi="仿宋" w:eastAsia="仿宋"/>
          <w:b/>
          <w:bCs/>
          <w:kern w:val="0"/>
          <w:sz w:val="24"/>
          <w:szCs w:val="24"/>
        </w:rPr>
        <w:t>包（应包括但不限于以下内容。不得出现报价，否则为废标）：</w:t>
      </w:r>
    </w:p>
    <w:p w14:paraId="31E7E056">
      <w:pPr>
        <w:pStyle w:val="14"/>
        <w:spacing w:line="440" w:lineRule="exact"/>
        <w:rPr>
          <w:rFonts w:ascii="仿宋" w:hAnsi="仿宋" w:eastAsia="仿宋"/>
          <w:b/>
          <w:bCs/>
          <w:kern w:val="0"/>
          <w:sz w:val="24"/>
          <w:szCs w:val="24"/>
        </w:rPr>
      </w:pPr>
      <w:r>
        <w:rPr>
          <w:rFonts w:ascii="仿宋" w:hAnsi="仿宋" w:eastAsia="仿宋"/>
          <w:b/>
          <w:bCs/>
          <w:kern w:val="0"/>
          <w:sz w:val="24"/>
          <w:szCs w:val="24"/>
        </w:rPr>
        <w:t>1、封面</w:t>
      </w:r>
    </w:p>
    <w:p w14:paraId="6029C40D">
      <w:pPr>
        <w:pStyle w:val="14"/>
        <w:spacing w:line="440" w:lineRule="exact"/>
        <w:rPr>
          <w:rFonts w:ascii="仿宋" w:hAnsi="仿宋" w:eastAsia="仿宋"/>
          <w:b/>
          <w:bCs/>
          <w:kern w:val="0"/>
          <w:sz w:val="24"/>
          <w:szCs w:val="24"/>
        </w:rPr>
      </w:pPr>
      <w:r>
        <w:rPr>
          <w:rFonts w:ascii="仿宋" w:hAnsi="仿宋" w:eastAsia="仿宋"/>
          <w:b/>
          <w:bCs/>
          <w:kern w:val="0"/>
          <w:sz w:val="24"/>
          <w:szCs w:val="24"/>
        </w:rPr>
        <w:t>2、磋商响应函</w:t>
      </w:r>
    </w:p>
    <w:p w14:paraId="4DB7EA56">
      <w:pPr>
        <w:pStyle w:val="14"/>
        <w:snapToGrid w:val="0"/>
        <w:spacing w:line="360" w:lineRule="auto"/>
        <w:jc w:val="left"/>
        <w:rPr>
          <w:rFonts w:ascii="仿宋" w:hAnsi="仿宋" w:eastAsia="仿宋"/>
          <w:b/>
          <w:bCs/>
          <w:kern w:val="0"/>
          <w:sz w:val="24"/>
          <w:szCs w:val="24"/>
        </w:rPr>
      </w:pPr>
      <w:r>
        <w:rPr>
          <w:rFonts w:ascii="仿宋" w:hAnsi="仿宋" w:eastAsia="仿宋"/>
          <w:b/>
          <w:bCs/>
          <w:kern w:val="0"/>
          <w:sz w:val="24"/>
          <w:szCs w:val="24"/>
        </w:rPr>
        <w:t>3、根据第六章“评标办法”2.2.2 条款技术标的评审因素及评审标准提供相关投标资料。</w:t>
      </w:r>
    </w:p>
    <w:p w14:paraId="135C4BDC">
      <w:pPr>
        <w:pStyle w:val="15"/>
        <w:spacing w:line="360" w:lineRule="auto"/>
        <w:rPr>
          <w:rFonts w:ascii="仿宋" w:hAnsi="仿宋" w:eastAsia="仿宋"/>
          <w:b/>
          <w:bCs/>
          <w:kern w:val="0"/>
          <w:sz w:val="24"/>
          <w:szCs w:val="24"/>
        </w:rPr>
      </w:pPr>
      <w:r>
        <w:rPr>
          <w:rFonts w:ascii="仿宋" w:hAnsi="仿宋" w:eastAsia="仿宋"/>
          <w:b/>
          <w:bCs/>
          <w:kern w:val="0"/>
          <w:sz w:val="24"/>
          <w:szCs w:val="24"/>
        </w:rPr>
        <w:t>4、商务技术条款响应一览表</w:t>
      </w:r>
    </w:p>
    <w:p w14:paraId="2CD4BD62">
      <w:pPr>
        <w:pStyle w:val="15"/>
        <w:rPr>
          <w:rFonts w:ascii="仿宋" w:hAnsi="仿宋" w:eastAsia="仿宋"/>
        </w:rPr>
      </w:pPr>
      <w:r>
        <w:rPr>
          <w:rFonts w:ascii="仿宋" w:hAnsi="仿宋" w:eastAsia="仿宋"/>
        </w:rPr>
        <w:t xml:space="preserve"> </w:t>
      </w:r>
    </w:p>
    <w:p w14:paraId="233C15CF">
      <w:pPr>
        <w:pStyle w:val="14"/>
        <w:snapToGrid w:val="0"/>
        <w:spacing w:line="360" w:lineRule="auto"/>
        <w:jc w:val="left"/>
        <w:rPr>
          <w:rFonts w:ascii="仿宋" w:hAnsi="仿宋" w:eastAsia="仿宋"/>
          <w:b/>
          <w:bCs/>
          <w:sz w:val="24"/>
          <w:szCs w:val="24"/>
        </w:rPr>
      </w:pPr>
      <w:r>
        <w:rPr>
          <w:rFonts w:ascii="仿宋" w:hAnsi="仿宋" w:eastAsia="仿宋"/>
          <w:b/>
          <w:bCs/>
          <w:sz w:val="24"/>
          <w:szCs w:val="24"/>
        </w:rPr>
        <w:t>注明：1、各</w:t>
      </w:r>
      <w:r>
        <w:rPr>
          <w:rFonts w:hint="eastAsia" w:ascii="仿宋" w:hAnsi="仿宋" w:eastAsia="仿宋"/>
          <w:b/>
          <w:bCs/>
          <w:sz w:val="24"/>
          <w:szCs w:val="24"/>
        </w:rPr>
        <w:t>响应供应商</w:t>
      </w:r>
      <w:r>
        <w:rPr>
          <w:rFonts w:ascii="仿宋" w:hAnsi="仿宋" w:eastAsia="仿宋"/>
          <w:b/>
          <w:bCs/>
          <w:sz w:val="24"/>
          <w:szCs w:val="24"/>
        </w:rPr>
        <w:t>根据本项目的技术标文件目录中的内容按顺序编制目录和页码范围（各条款的具体内容及要求请按照本磋商文件第六章“评标办法”2.2.2 条款技术标的评审因素及评审标准提供相关投标资料），技术标的以上条款中纸质所有证明材料材料或证书需提供复印件并加盖单位公章。</w:t>
      </w:r>
    </w:p>
    <w:p w14:paraId="583AB6C6">
      <w:pPr>
        <w:pStyle w:val="14"/>
        <w:widowControl/>
        <w:spacing w:line="360" w:lineRule="auto"/>
        <w:jc w:val="left"/>
        <w:rPr>
          <w:rFonts w:ascii="仿宋" w:hAnsi="仿宋" w:eastAsia="仿宋"/>
          <w:b/>
          <w:bCs/>
          <w:sz w:val="24"/>
          <w:szCs w:val="24"/>
        </w:rPr>
      </w:pPr>
      <w:r>
        <w:rPr>
          <w:rFonts w:ascii="仿宋" w:hAnsi="仿宋" w:eastAsia="仿宋"/>
          <w:b/>
          <w:bCs/>
          <w:sz w:val="24"/>
          <w:szCs w:val="24"/>
        </w:rPr>
        <w:t xml:space="preserve"> </w:t>
      </w:r>
    </w:p>
    <w:p w14:paraId="3DCDE646">
      <w:pPr>
        <w:pStyle w:val="14"/>
        <w:widowControl/>
        <w:spacing w:line="360" w:lineRule="auto"/>
        <w:jc w:val="center"/>
        <w:rPr>
          <w:rFonts w:ascii="仿宋" w:hAnsi="仿宋" w:eastAsia="仿宋"/>
          <w:sz w:val="24"/>
          <w:szCs w:val="24"/>
        </w:rPr>
      </w:pPr>
      <w:r>
        <w:rPr>
          <w:rFonts w:ascii="仿宋" w:hAnsi="仿宋" w:eastAsia="仿宋"/>
          <w:sz w:val="24"/>
          <w:szCs w:val="24"/>
        </w:rPr>
        <w:t xml:space="preserve"> </w:t>
      </w:r>
      <w:r>
        <w:br w:type="page"/>
      </w:r>
    </w:p>
    <w:p w14:paraId="005A7DBF">
      <w:pPr>
        <w:pStyle w:val="14"/>
        <w:spacing w:line="360" w:lineRule="auto"/>
        <w:jc w:val="center"/>
        <w:rPr>
          <w:rFonts w:ascii="仿宋" w:hAnsi="仿宋" w:eastAsia="仿宋"/>
          <w:b/>
          <w:bCs/>
          <w:sz w:val="28"/>
          <w:szCs w:val="28"/>
        </w:rPr>
      </w:pPr>
      <w:r>
        <w:rPr>
          <w:rFonts w:ascii="仿宋" w:hAnsi="仿宋" w:eastAsia="仿宋"/>
        </w:rPr>
        <w:t>一、</w:t>
      </w:r>
      <w:r>
        <w:rPr>
          <w:rFonts w:ascii="仿宋" w:hAnsi="仿宋" w:eastAsia="仿宋"/>
          <w:b/>
          <w:bCs/>
          <w:sz w:val="28"/>
          <w:szCs w:val="28"/>
        </w:rPr>
        <w:t>磋商响应函</w:t>
      </w:r>
    </w:p>
    <w:p w14:paraId="5429841A">
      <w:pPr>
        <w:pStyle w:val="14"/>
        <w:spacing w:line="360" w:lineRule="auto"/>
        <w:rPr>
          <w:rFonts w:ascii="仿宋" w:hAnsi="仿宋" w:eastAsia="仿宋"/>
          <w:sz w:val="24"/>
          <w:szCs w:val="24"/>
        </w:rPr>
      </w:pPr>
      <w:r>
        <w:rPr>
          <w:rFonts w:ascii="仿宋" w:hAnsi="仿宋" w:eastAsia="仿宋"/>
          <w:sz w:val="22"/>
          <w:szCs w:val="22"/>
          <w:u w:val="single"/>
        </w:rPr>
        <w:t>（招标人）</w:t>
      </w:r>
      <w:r>
        <w:rPr>
          <w:rFonts w:ascii="仿宋" w:hAnsi="仿宋" w:eastAsia="仿宋"/>
          <w:sz w:val="24"/>
          <w:szCs w:val="24"/>
        </w:rPr>
        <w:t>：</w:t>
      </w:r>
    </w:p>
    <w:p w14:paraId="43802E5E">
      <w:pPr>
        <w:pStyle w:val="14"/>
        <w:spacing w:line="360" w:lineRule="auto"/>
        <w:ind w:firstLine="720" w:firstLineChars="300"/>
        <w:rPr>
          <w:rFonts w:ascii="仿宋" w:hAnsi="仿宋" w:eastAsia="仿宋"/>
          <w:sz w:val="24"/>
          <w:szCs w:val="24"/>
        </w:rPr>
      </w:pPr>
      <w:r>
        <w:rPr>
          <w:rFonts w:ascii="仿宋" w:hAnsi="仿宋" w:eastAsia="仿宋"/>
          <w:sz w:val="24"/>
          <w:szCs w:val="24"/>
        </w:rPr>
        <w:t>依据贵单位 （采购项目名称及项目编号)项目公开招标的邀请，我方授权（姓名）（职务）为全权代表参加该项目的投标，全权处理本次投标的有关事宜。同时，我公司声明如下：</w:t>
      </w:r>
    </w:p>
    <w:p w14:paraId="4FE00969">
      <w:pPr>
        <w:pStyle w:val="14"/>
        <w:spacing w:line="360" w:lineRule="auto"/>
        <w:rPr>
          <w:rFonts w:ascii="仿宋" w:hAnsi="仿宋" w:eastAsia="仿宋"/>
          <w:sz w:val="24"/>
          <w:szCs w:val="24"/>
        </w:rPr>
      </w:pPr>
      <w:r>
        <w:rPr>
          <w:rFonts w:ascii="仿宋" w:hAnsi="仿宋" w:eastAsia="仿宋"/>
          <w:sz w:val="24"/>
          <w:szCs w:val="24"/>
        </w:rPr>
        <w:t>1、同意并接受磋商文件的各项要求，遵守磋商文件中的各项规定，按磋商文件的要求提供报价。</w:t>
      </w:r>
    </w:p>
    <w:p w14:paraId="7EEE4A75">
      <w:pPr>
        <w:pStyle w:val="14"/>
        <w:spacing w:line="360" w:lineRule="auto"/>
        <w:rPr>
          <w:rFonts w:ascii="仿宋" w:hAnsi="仿宋" w:eastAsia="仿宋"/>
          <w:sz w:val="24"/>
          <w:szCs w:val="24"/>
        </w:rPr>
      </w:pPr>
      <w:r>
        <w:rPr>
          <w:rFonts w:ascii="仿宋" w:hAnsi="仿宋" w:eastAsia="仿宋"/>
          <w:sz w:val="24"/>
          <w:szCs w:val="24"/>
        </w:rPr>
        <w:t>2、我公司已经详细阅读了全部磋商文件及其附件，我方已完全清晰理解磋商文件的要求，不存在任何含糊不清和误解之处，同意放弃对这些文件所提出的异议和质疑的权利。</w:t>
      </w:r>
    </w:p>
    <w:p w14:paraId="5E481FEB">
      <w:pPr>
        <w:pStyle w:val="14"/>
        <w:spacing w:line="360" w:lineRule="auto"/>
        <w:rPr>
          <w:rFonts w:ascii="仿宋" w:hAnsi="仿宋" w:eastAsia="仿宋"/>
          <w:sz w:val="24"/>
          <w:szCs w:val="24"/>
        </w:rPr>
      </w:pPr>
      <w:r>
        <w:rPr>
          <w:rFonts w:ascii="仿宋" w:hAnsi="仿宋" w:eastAsia="仿宋"/>
          <w:sz w:val="24"/>
          <w:szCs w:val="24"/>
        </w:rPr>
        <w:t>3、我公司已毫无保留地向贵方提供一切所需的证明材料。</w:t>
      </w:r>
    </w:p>
    <w:p w14:paraId="677E3B9C">
      <w:pPr>
        <w:pStyle w:val="14"/>
        <w:spacing w:line="360" w:lineRule="auto"/>
        <w:rPr>
          <w:rFonts w:ascii="仿宋" w:hAnsi="仿宋" w:eastAsia="仿宋"/>
          <w:sz w:val="24"/>
          <w:szCs w:val="24"/>
        </w:rPr>
      </w:pPr>
      <w:r>
        <w:rPr>
          <w:rFonts w:ascii="仿宋" w:hAnsi="仿宋" w:eastAsia="仿宋"/>
          <w:sz w:val="24"/>
          <w:szCs w:val="24"/>
        </w:rPr>
        <w:t>4、我公司承诺在本次投标中提供的一切文件，无论是原件还是复印件均真实合法有效，绝无任何虚假、伪造和夸大的成份。否则，愿承担相应的后果和法律责任。</w:t>
      </w:r>
    </w:p>
    <w:p w14:paraId="04AE91CB">
      <w:pPr>
        <w:pStyle w:val="14"/>
        <w:spacing w:line="360" w:lineRule="auto"/>
        <w:rPr>
          <w:rFonts w:ascii="仿宋" w:hAnsi="仿宋" w:eastAsia="仿宋"/>
          <w:sz w:val="24"/>
          <w:szCs w:val="24"/>
        </w:rPr>
      </w:pPr>
      <w:r>
        <w:rPr>
          <w:rFonts w:ascii="仿宋" w:hAnsi="仿宋" w:eastAsia="仿宋"/>
          <w:sz w:val="24"/>
          <w:szCs w:val="24"/>
        </w:rPr>
        <w:t>5、我公司尊重评标委员会所作的评定结果，同时清楚理解到报价最低并非意味着必定获得成交资格。</w:t>
      </w:r>
    </w:p>
    <w:p w14:paraId="37F854FD">
      <w:pPr>
        <w:pStyle w:val="14"/>
        <w:spacing w:line="360" w:lineRule="auto"/>
        <w:rPr>
          <w:rFonts w:ascii="仿宋" w:hAnsi="仿宋" w:eastAsia="仿宋"/>
          <w:sz w:val="24"/>
          <w:szCs w:val="24"/>
        </w:rPr>
      </w:pPr>
      <w:r>
        <w:rPr>
          <w:rFonts w:ascii="仿宋" w:hAnsi="仿宋" w:eastAsia="仿宋"/>
          <w:sz w:val="24"/>
          <w:szCs w:val="24"/>
        </w:rPr>
        <w:t>6、一旦我方成交,我方将根据磋商文件的要求和投标文件的承诺签订合同，严格履行合同的责任和义务,并保证在磋商文件规定的时间完成项目，交付采购单位验收、使用。</w:t>
      </w:r>
    </w:p>
    <w:p w14:paraId="1B878A96">
      <w:pPr>
        <w:pStyle w:val="14"/>
        <w:spacing w:line="360" w:lineRule="auto"/>
        <w:rPr>
          <w:rFonts w:ascii="仿宋" w:hAnsi="仿宋" w:eastAsia="仿宋"/>
          <w:sz w:val="28"/>
          <w:szCs w:val="28"/>
        </w:rPr>
      </w:pPr>
      <w:r>
        <w:rPr>
          <w:rFonts w:ascii="仿宋" w:hAnsi="仿宋" w:eastAsia="仿宋"/>
          <w:sz w:val="28"/>
          <w:szCs w:val="28"/>
        </w:rPr>
        <w:t xml:space="preserve"> </w:t>
      </w:r>
    </w:p>
    <w:p w14:paraId="485757D4">
      <w:pPr>
        <w:pStyle w:val="14"/>
        <w:spacing w:line="360" w:lineRule="auto"/>
        <w:jc w:val="right"/>
        <w:rPr>
          <w:rFonts w:ascii="仿宋" w:hAnsi="仿宋" w:eastAsia="仿宋"/>
          <w:sz w:val="24"/>
          <w:szCs w:val="24"/>
        </w:rPr>
      </w:pPr>
      <w:r>
        <w:rPr>
          <w:rFonts w:ascii="仿宋" w:hAnsi="仿宋" w:eastAsia="仿宋"/>
          <w:sz w:val="24"/>
          <w:szCs w:val="24"/>
        </w:rPr>
        <w:t>响应供应商：（加盖公章）</w:t>
      </w:r>
    </w:p>
    <w:p w14:paraId="7986787F">
      <w:pPr>
        <w:pStyle w:val="14"/>
        <w:spacing w:line="360" w:lineRule="auto"/>
        <w:jc w:val="right"/>
        <w:rPr>
          <w:rFonts w:ascii="仿宋" w:hAnsi="仿宋" w:eastAsia="仿宋"/>
          <w:sz w:val="24"/>
          <w:szCs w:val="24"/>
        </w:rPr>
      </w:pPr>
      <w:r>
        <w:rPr>
          <w:rFonts w:ascii="仿宋" w:hAnsi="仿宋" w:eastAsia="仿宋"/>
          <w:sz w:val="24"/>
          <w:szCs w:val="24"/>
        </w:rPr>
        <w:t>法定代表人或被授权人：（签字或盖章）</w:t>
      </w:r>
    </w:p>
    <w:p w14:paraId="72394612">
      <w:pPr>
        <w:pStyle w:val="14"/>
        <w:spacing w:line="360" w:lineRule="auto"/>
        <w:jc w:val="right"/>
        <w:rPr>
          <w:rFonts w:ascii="仿宋" w:hAnsi="仿宋" w:eastAsia="仿宋"/>
          <w:sz w:val="24"/>
          <w:szCs w:val="24"/>
        </w:rPr>
      </w:pPr>
      <w:r>
        <w:rPr>
          <w:rFonts w:ascii="仿宋" w:hAnsi="仿宋" w:eastAsia="仿宋"/>
          <w:sz w:val="24"/>
          <w:szCs w:val="24"/>
        </w:rPr>
        <w:t xml:space="preserve"> </w:t>
      </w:r>
    </w:p>
    <w:p w14:paraId="79596F16">
      <w:pPr>
        <w:pStyle w:val="14"/>
        <w:spacing w:line="360" w:lineRule="auto"/>
        <w:jc w:val="right"/>
        <w:rPr>
          <w:rFonts w:ascii="仿宋" w:hAnsi="仿宋" w:eastAsia="仿宋"/>
          <w:sz w:val="24"/>
          <w:szCs w:val="24"/>
        </w:rPr>
      </w:pPr>
      <w:r>
        <w:rPr>
          <w:rFonts w:ascii="仿宋" w:hAnsi="仿宋" w:eastAsia="仿宋"/>
          <w:sz w:val="24"/>
          <w:szCs w:val="24"/>
        </w:rPr>
        <w:t>年    月    日</w:t>
      </w:r>
    </w:p>
    <w:p w14:paraId="6DF4B0FB">
      <w:pPr>
        <w:pStyle w:val="14"/>
        <w:autoSpaceDE w:val="0"/>
        <w:autoSpaceDN w:val="0"/>
        <w:spacing w:line="360" w:lineRule="auto"/>
        <w:jc w:val="center"/>
        <w:rPr>
          <w:rFonts w:ascii="仿宋" w:hAnsi="仿宋" w:eastAsia="仿宋"/>
        </w:rPr>
      </w:pPr>
      <w:r>
        <w:rPr>
          <w:rFonts w:ascii="仿宋" w:hAnsi="仿宋" w:eastAsia="仿宋"/>
        </w:rPr>
        <w:t xml:space="preserve"> </w:t>
      </w:r>
    </w:p>
    <w:p w14:paraId="3FD481CF">
      <w:pPr>
        <w:pStyle w:val="15"/>
        <w:spacing w:line="360" w:lineRule="auto"/>
        <w:rPr>
          <w:rFonts w:ascii="仿宋" w:hAnsi="仿宋" w:eastAsia="仿宋"/>
        </w:rPr>
      </w:pPr>
      <w:r>
        <w:rPr>
          <w:rFonts w:ascii="仿宋" w:hAnsi="仿宋" w:eastAsia="仿宋"/>
        </w:rPr>
        <w:t xml:space="preserve"> </w:t>
      </w:r>
    </w:p>
    <w:p w14:paraId="25D9D9A4">
      <w:pPr>
        <w:pStyle w:val="15"/>
        <w:spacing w:line="360" w:lineRule="auto"/>
        <w:rPr>
          <w:rFonts w:ascii="仿宋" w:hAnsi="仿宋" w:eastAsia="仿宋"/>
        </w:rPr>
      </w:pPr>
      <w:r>
        <w:rPr>
          <w:rFonts w:ascii="仿宋" w:hAnsi="仿宋" w:eastAsia="仿宋"/>
        </w:rPr>
        <w:t xml:space="preserve"> </w:t>
      </w:r>
    </w:p>
    <w:p w14:paraId="6C491DED">
      <w:pPr>
        <w:pStyle w:val="15"/>
        <w:spacing w:line="360" w:lineRule="auto"/>
        <w:rPr>
          <w:rFonts w:ascii="仿宋" w:hAnsi="仿宋" w:eastAsia="仿宋"/>
        </w:rPr>
      </w:pPr>
      <w:r>
        <w:rPr>
          <w:rFonts w:ascii="仿宋" w:hAnsi="仿宋" w:eastAsia="仿宋"/>
        </w:rPr>
        <w:t xml:space="preserve"> </w:t>
      </w:r>
    </w:p>
    <w:p w14:paraId="3AB04D64">
      <w:pPr>
        <w:pStyle w:val="8"/>
        <w:spacing w:line="360" w:lineRule="auto"/>
        <w:ind w:firstLine="2800" w:firstLineChars="1000"/>
        <w:rPr>
          <w:rFonts w:ascii="仿宋" w:hAnsi="仿宋" w:eastAsia="仿宋" w:cs="仿宋"/>
        </w:rPr>
      </w:pPr>
      <w:r>
        <w:rPr>
          <w:rFonts w:hint="eastAsia" w:ascii="仿宋" w:hAnsi="仿宋" w:eastAsia="仿宋" w:cs="仿宋"/>
        </w:rPr>
        <w:t>二、商务技术条款响应一览表</w:t>
      </w:r>
    </w:p>
    <w:p w14:paraId="0ABB0D38">
      <w:pPr>
        <w:pStyle w:val="8"/>
        <w:spacing w:line="360" w:lineRule="auto"/>
        <w:jc w:val="left"/>
        <w:rPr>
          <w:rFonts w:ascii="仿宋" w:hAnsi="仿宋" w:eastAsia="仿宋" w:cs="仿宋"/>
          <w:b/>
          <w:bCs/>
          <w:sz w:val="24"/>
          <w:szCs w:val="24"/>
        </w:rPr>
      </w:pPr>
      <w:r>
        <w:rPr>
          <w:rFonts w:hint="eastAsia" w:ascii="仿宋" w:hAnsi="仿宋" w:eastAsia="仿宋" w:cs="仿宋"/>
          <w:b/>
          <w:bCs/>
          <w:sz w:val="24"/>
          <w:szCs w:val="24"/>
        </w:rPr>
        <w:t>项目编号：</w:t>
      </w:r>
    </w:p>
    <w:tbl>
      <w:tblPr>
        <w:tblStyle w:val="12"/>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14:paraId="77A2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tcBorders>
              <w:top w:val="single" w:color="auto" w:sz="4" w:space="0"/>
              <w:left w:val="single" w:color="auto" w:sz="4" w:space="0"/>
              <w:bottom w:val="single" w:color="auto" w:sz="4" w:space="0"/>
              <w:right w:val="single" w:color="auto" w:sz="4" w:space="0"/>
            </w:tcBorders>
            <w:vAlign w:val="center"/>
          </w:tcPr>
          <w:p w14:paraId="5F808902">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76" w:type="dxa"/>
            <w:tcBorders>
              <w:top w:val="single" w:color="auto" w:sz="4" w:space="0"/>
              <w:left w:val="nil"/>
              <w:bottom w:val="single" w:color="auto" w:sz="4" w:space="0"/>
              <w:right w:val="single" w:color="auto" w:sz="4" w:space="0"/>
            </w:tcBorders>
            <w:vAlign w:val="center"/>
          </w:tcPr>
          <w:p w14:paraId="01508B37">
            <w:pPr>
              <w:spacing w:line="360" w:lineRule="auto"/>
              <w:ind w:left="30" w:leftChars="15"/>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2268" w:type="dxa"/>
            <w:tcBorders>
              <w:top w:val="single" w:color="auto" w:sz="4" w:space="0"/>
              <w:left w:val="nil"/>
              <w:bottom w:val="single" w:color="auto" w:sz="4" w:space="0"/>
              <w:right w:val="single" w:color="auto" w:sz="4" w:space="0"/>
            </w:tcBorders>
            <w:vAlign w:val="center"/>
          </w:tcPr>
          <w:p w14:paraId="3E432044">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磋商文件的技术商务条款</w:t>
            </w:r>
          </w:p>
        </w:tc>
        <w:tc>
          <w:tcPr>
            <w:tcW w:w="2268" w:type="dxa"/>
            <w:tcBorders>
              <w:top w:val="single" w:color="auto" w:sz="4" w:space="0"/>
              <w:left w:val="nil"/>
              <w:bottom w:val="single" w:color="auto" w:sz="4" w:space="0"/>
              <w:right w:val="single" w:color="auto" w:sz="4" w:space="0"/>
            </w:tcBorders>
            <w:vAlign w:val="center"/>
          </w:tcPr>
          <w:p w14:paraId="58FC26ED">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响应文件承诺的技术商务条款</w:t>
            </w:r>
          </w:p>
        </w:tc>
        <w:tc>
          <w:tcPr>
            <w:tcW w:w="1620" w:type="dxa"/>
            <w:tcBorders>
              <w:top w:val="single" w:color="auto" w:sz="4" w:space="0"/>
              <w:left w:val="nil"/>
              <w:bottom w:val="single" w:color="auto" w:sz="4" w:space="0"/>
              <w:right w:val="single" w:color="auto" w:sz="4" w:space="0"/>
            </w:tcBorders>
            <w:vAlign w:val="center"/>
          </w:tcPr>
          <w:p w14:paraId="4C4A4844">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偏离情况</w:t>
            </w:r>
          </w:p>
        </w:tc>
        <w:tc>
          <w:tcPr>
            <w:tcW w:w="1215" w:type="dxa"/>
            <w:tcBorders>
              <w:top w:val="single" w:color="auto" w:sz="4" w:space="0"/>
              <w:left w:val="nil"/>
              <w:bottom w:val="single" w:color="auto" w:sz="4" w:space="0"/>
              <w:right w:val="single" w:color="auto" w:sz="4" w:space="0"/>
            </w:tcBorders>
            <w:vAlign w:val="center"/>
          </w:tcPr>
          <w:p w14:paraId="7E7B1ECE">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14:paraId="419F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tcBorders>
              <w:top w:val="single" w:color="auto" w:sz="4" w:space="0"/>
              <w:left w:val="single" w:color="auto" w:sz="4" w:space="0"/>
              <w:bottom w:val="single" w:color="auto" w:sz="4" w:space="0"/>
              <w:right w:val="single" w:color="auto" w:sz="4" w:space="0"/>
            </w:tcBorders>
            <w:vAlign w:val="center"/>
          </w:tcPr>
          <w:p w14:paraId="0418133B">
            <w:pPr>
              <w:spacing w:line="360" w:lineRule="auto"/>
              <w:jc w:val="center"/>
              <w:rPr>
                <w:rFonts w:ascii="仿宋" w:hAnsi="仿宋" w:eastAsia="仿宋" w:cs="仿宋"/>
                <w:b/>
                <w:bCs/>
                <w:sz w:val="24"/>
                <w:szCs w:val="24"/>
              </w:rPr>
            </w:pPr>
          </w:p>
        </w:tc>
        <w:tc>
          <w:tcPr>
            <w:tcW w:w="1276" w:type="dxa"/>
            <w:tcBorders>
              <w:top w:val="single" w:color="auto" w:sz="4" w:space="0"/>
              <w:left w:val="nil"/>
              <w:bottom w:val="single" w:color="auto" w:sz="4" w:space="0"/>
              <w:right w:val="single" w:color="auto" w:sz="4" w:space="0"/>
            </w:tcBorders>
            <w:vAlign w:val="center"/>
          </w:tcPr>
          <w:p w14:paraId="5C70102D">
            <w:pPr>
              <w:spacing w:line="360" w:lineRule="auto"/>
              <w:jc w:val="center"/>
              <w:rPr>
                <w:rFonts w:ascii="仿宋" w:hAnsi="仿宋" w:eastAsia="仿宋" w:cs="仿宋"/>
                <w:b/>
                <w:bCs/>
                <w:sz w:val="24"/>
                <w:szCs w:val="24"/>
              </w:rPr>
            </w:pPr>
          </w:p>
        </w:tc>
        <w:tc>
          <w:tcPr>
            <w:tcW w:w="2268" w:type="dxa"/>
            <w:tcBorders>
              <w:top w:val="single" w:color="auto" w:sz="4" w:space="0"/>
              <w:left w:val="nil"/>
              <w:bottom w:val="single" w:color="auto" w:sz="4" w:space="0"/>
              <w:right w:val="single" w:color="auto" w:sz="4" w:space="0"/>
            </w:tcBorders>
            <w:vAlign w:val="center"/>
          </w:tcPr>
          <w:p w14:paraId="00D11F81">
            <w:pPr>
              <w:adjustRightInd w:val="0"/>
              <w:spacing w:line="360" w:lineRule="auto"/>
              <w:ind w:right="-2" w:rightChars="-1" w:firstLine="480" w:firstLineChars="200"/>
              <w:rPr>
                <w:rFonts w:ascii="仿宋" w:hAnsi="仿宋" w:eastAsia="仿宋" w:cs="仿宋"/>
                <w:b/>
                <w:bCs/>
                <w:spacing w:val="-12"/>
                <w:sz w:val="24"/>
                <w:szCs w:val="24"/>
              </w:rPr>
            </w:pPr>
            <w:r>
              <w:rPr>
                <w:rFonts w:hint="eastAsia" w:ascii="仿宋" w:hAnsi="仿宋" w:eastAsia="仿宋" w:cs="仿宋"/>
                <w:sz w:val="24"/>
                <w:szCs w:val="24"/>
              </w:rPr>
              <w:t> </w:t>
            </w:r>
          </w:p>
        </w:tc>
        <w:tc>
          <w:tcPr>
            <w:tcW w:w="2268" w:type="dxa"/>
            <w:tcBorders>
              <w:top w:val="single" w:color="auto" w:sz="4" w:space="0"/>
              <w:left w:val="nil"/>
              <w:bottom w:val="single" w:color="auto" w:sz="4" w:space="0"/>
              <w:right w:val="single" w:color="auto" w:sz="4" w:space="0"/>
            </w:tcBorders>
            <w:vAlign w:val="center"/>
          </w:tcPr>
          <w:p w14:paraId="41CE565B">
            <w:pPr>
              <w:spacing w:line="360" w:lineRule="auto"/>
              <w:jc w:val="center"/>
              <w:rPr>
                <w:rFonts w:ascii="仿宋" w:hAnsi="仿宋" w:eastAsia="仿宋" w:cs="仿宋"/>
                <w:b/>
                <w:bCs/>
                <w:sz w:val="24"/>
                <w:szCs w:val="24"/>
              </w:rPr>
            </w:pPr>
          </w:p>
        </w:tc>
        <w:tc>
          <w:tcPr>
            <w:tcW w:w="1620" w:type="dxa"/>
            <w:tcBorders>
              <w:top w:val="single" w:color="auto" w:sz="4" w:space="0"/>
              <w:left w:val="nil"/>
              <w:bottom w:val="single" w:color="auto" w:sz="4" w:space="0"/>
              <w:right w:val="single" w:color="auto" w:sz="4" w:space="0"/>
            </w:tcBorders>
            <w:vAlign w:val="center"/>
          </w:tcPr>
          <w:p w14:paraId="4823887D">
            <w:pPr>
              <w:spacing w:line="360" w:lineRule="auto"/>
              <w:jc w:val="center"/>
              <w:rPr>
                <w:rFonts w:ascii="仿宋" w:hAnsi="仿宋" w:eastAsia="仿宋" w:cs="仿宋"/>
                <w:b/>
                <w:bCs/>
                <w:sz w:val="24"/>
                <w:szCs w:val="24"/>
              </w:rPr>
            </w:pPr>
          </w:p>
        </w:tc>
        <w:tc>
          <w:tcPr>
            <w:tcW w:w="1215" w:type="dxa"/>
            <w:tcBorders>
              <w:top w:val="single" w:color="auto" w:sz="4" w:space="0"/>
              <w:left w:val="nil"/>
              <w:bottom w:val="single" w:color="auto" w:sz="4" w:space="0"/>
              <w:right w:val="single" w:color="auto" w:sz="4" w:space="0"/>
            </w:tcBorders>
            <w:vAlign w:val="center"/>
          </w:tcPr>
          <w:p w14:paraId="464A942B">
            <w:pPr>
              <w:spacing w:line="360" w:lineRule="auto"/>
              <w:jc w:val="center"/>
              <w:rPr>
                <w:rFonts w:ascii="仿宋" w:hAnsi="仿宋" w:eastAsia="仿宋" w:cs="仿宋"/>
                <w:b/>
                <w:bCs/>
                <w:sz w:val="24"/>
                <w:szCs w:val="24"/>
              </w:rPr>
            </w:pPr>
          </w:p>
        </w:tc>
      </w:tr>
      <w:tr w14:paraId="122C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tcBorders>
              <w:top w:val="single" w:color="auto" w:sz="4" w:space="0"/>
              <w:left w:val="single" w:color="auto" w:sz="4" w:space="0"/>
              <w:bottom w:val="single" w:color="auto" w:sz="4" w:space="0"/>
              <w:right w:val="single" w:color="auto" w:sz="4" w:space="0"/>
            </w:tcBorders>
            <w:vAlign w:val="center"/>
          </w:tcPr>
          <w:p w14:paraId="7B101B88">
            <w:pPr>
              <w:spacing w:line="360" w:lineRule="auto"/>
              <w:jc w:val="center"/>
              <w:rPr>
                <w:rFonts w:ascii="仿宋" w:hAnsi="仿宋" w:eastAsia="仿宋" w:cs="仿宋"/>
                <w:b/>
                <w:bCs/>
                <w:sz w:val="24"/>
                <w:szCs w:val="24"/>
              </w:rPr>
            </w:pPr>
          </w:p>
        </w:tc>
        <w:tc>
          <w:tcPr>
            <w:tcW w:w="1276" w:type="dxa"/>
            <w:tcBorders>
              <w:top w:val="single" w:color="auto" w:sz="4" w:space="0"/>
              <w:left w:val="nil"/>
              <w:bottom w:val="single" w:color="auto" w:sz="4" w:space="0"/>
              <w:right w:val="single" w:color="auto" w:sz="4" w:space="0"/>
            </w:tcBorders>
            <w:vAlign w:val="center"/>
          </w:tcPr>
          <w:p w14:paraId="4D99ABAD">
            <w:pPr>
              <w:spacing w:line="360" w:lineRule="auto"/>
              <w:jc w:val="center"/>
              <w:rPr>
                <w:rFonts w:ascii="仿宋" w:hAnsi="仿宋" w:eastAsia="仿宋" w:cs="仿宋"/>
                <w:b/>
                <w:bCs/>
                <w:sz w:val="24"/>
                <w:szCs w:val="24"/>
              </w:rPr>
            </w:pPr>
          </w:p>
        </w:tc>
        <w:tc>
          <w:tcPr>
            <w:tcW w:w="2268" w:type="dxa"/>
            <w:tcBorders>
              <w:top w:val="single" w:color="auto" w:sz="4" w:space="0"/>
              <w:left w:val="nil"/>
              <w:bottom w:val="single" w:color="auto" w:sz="4" w:space="0"/>
              <w:right w:val="single" w:color="auto" w:sz="4" w:space="0"/>
            </w:tcBorders>
            <w:vAlign w:val="center"/>
          </w:tcPr>
          <w:p w14:paraId="60BCFE4C">
            <w:pPr>
              <w:adjustRightInd w:val="0"/>
              <w:spacing w:line="360" w:lineRule="auto"/>
              <w:ind w:right="-2" w:rightChars="-1" w:firstLine="480" w:firstLineChars="200"/>
              <w:rPr>
                <w:rFonts w:ascii="仿宋" w:hAnsi="仿宋" w:eastAsia="仿宋" w:cs="仿宋"/>
                <w:sz w:val="24"/>
                <w:szCs w:val="24"/>
              </w:rPr>
            </w:pPr>
          </w:p>
        </w:tc>
        <w:tc>
          <w:tcPr>
            <w:tcW w:w="2268" w:type="dxa"/>
            <w:tcBorders>
              <w:top w:val="single" w:color="auto" w:sz="4" w:space="0"/>
              <w:left w:val="nil"/>
              <w:bottom w:val="single" w:color="auto" w:sz="4" w:space="0"/>
              <w:right w:val="single" w:color="auto" w:sz="4" w:space="0"/>
            </w:tcBorders>
            <w:vAlign w:val="center"/>
          </w:tcPr>
          <w:p w14:paraId="05F173B5">
            <w:pPr>
              <w:spacing w:line="360" w:lineRule="auto"/>
              <w:jc w:val="center"/>
              <w:rPr>
                <w:rFonts w:ascii="仿宋" w:hAnsi="仿宋" w:eastAsia="仿宋" w:cs="仿宋"/>
                <w:b/>
                <w:bCs/>
                <w:sz w:val="24"/>
                <w:szCs w:val="24"/>
              </w:rPr>
            </w:pPr>
          </w:p>
        </w:tc>
        <w:tc>
          <w:tcPr>
            <w:tcW w:w="1620" w:type="dxa"/>
            <w:tcBorders>
              <w:top w:val="single" w:color="auto" w:sz="4" w:space="0"/>
              <w:left w:val="nil"/>
              <w:bottom w:val="single" w:color="auto" w:sz="4" w:space="0"/>
              <w:right w:val="single" w:color="auto" w:sz="4" w:space="0"/>
            </w:tcBorders>
            <w:vAlign w:val="center"/>
          </w:tcPr>
          <w:p w14:paraId="140E41E2">
            <w:pPr>
              <w:spacing w:line="360" w:lineRule="auto"/>
              <w:jc w:val="center"/>
              <w:rPr>
                <w:rFonts w:ascii="仿宋" w:hAnsi="仿宋" w:eastAsia="仿宋" w:cs="仿宋"/>
                <w:b/>
                <w:bCs/>
                <w:sz w:val="24"/>
                <w:szCs w:val="24"/>
              </w:rPr>
            </w:pPr>
          </w:p>
        </w:tc>
        <w:tc>
          <w:tcPr>
            <w:tcW w:w="1215" w:type="dxa"/>
            <w:tcBorders>
              <w:top w:val="single" w:color="auto" w:sz="4" w:space="0"/>
              <w:left w:val="nil"/>
              <w:bottom w:val="single" w:color="auto" w:sz="4" w:space="0"/>
              <w:right w:val="single" w:color="auto" w:sz="4" w:space="0"/>
            </w:tcBorders>
            <w:vAlign w:val="center"/>
          </w:tcPr>
          <w:p w14:paraId="575E56E7">
            <w:pPr>
              <w:spacing w:line="360" w:lineRule="auto"/>
              <w:jc w:val="center"/>
              <w:rPr>
                <w:rFonts w:ascii="仿宋" w:hAnsi="仿宋" w:eastAsia="仿宋" w:cs="仿宋"/>
                <w:b/>
                <w:bCs/>
                <w:sz w:val="24"/>
                <w:szCs w:val="24"/>
              </w:rPr>
            </w:pPr>
          </w:p>
        </w:tc>
      </w:tr>
      <w:tr w14:paraId="6BA4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14:paraId="582DBC83">
            <w:pPr>
              <w:spacing w:line="360" w:lineRule="auto"/>
              <w:jc w:val="center"/>
              <w:rPr>
                <w:rFonts w:ascii="仿宋" w:hAnsi="仿宋" w:eastAsia="仿宋" w:cs="仿宋"/>
                <w:b/>
                <w:bCs/>
                <w:sz w:val="24"/>
                <w:szCs w:val="24"/>
              </w:rPr>
            </w:pPr>
          </w:p>
        </w:tc>
        <w:tc>
          <w:tcPr>
            <w:tcW w:w="1276" w:type="dxa"/>
            <w:tcBorders>
              <w:top w:val="single" w:color="auto" w:sz="4" w:space="0"/>
              <w:left w:val="nil"/>
              <w:bottom w:val="single" w:color="auto" w:sz="4" w:space="0"/>
              <w:right w:val="single" w:color="auto" w:sz="4" w:space="0"/>
            </w:tcBorders>
            <w:vAlign w:val="center"/>
          </w:tcPr>
          <w:p w14:paraId="43FAA1AC">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 </w:t>
            </w:r>
          </w:p>
        </w:tc>
        <w:tc>
          <w:tcPr>
            <w:tcW w:w="2268" w:type="dxa"/>
            <w:tcBorders>
              <w:top w:val="single" w:color="auto" w:sz="4" w:space="0"/>
              <w:left w:val="nil"/>
              <w:bottom w:val="single" w:color="auto" w:sz="4" w:space="0"/>
              <w:right w:val="single" w:color="auto" w:sz="4" w:space="0"/>
            </w:tcBorders>
            <w:vAlign w:val="center"/>
          </w:tcPr>
          <w:p w14:paraId="4B59EB35">
            <w:pPr>
              <w:adjustRightInd w:val="0"/>
              <w:spacing w:line="360" w:lineRule="auto"/>
              <w:ind w:right="-2" w:rightChars="-1" w:firstLine="480" w:firstLineChars="200"/>
              <w:rPr>
                <w:rFonts w:ascii="仿宋" w:hAnsi="仿宋" w:eastAsia="仿宋" w:cs="仿宋"/>
                <w:b/>
                <w:bCs/>
                <w:spacing w:val="-12"/>
                <w:sz w:val="24"/>
                <w:szCs w:val="24"/>
              </w:rPr>
            </w:pPr>
            <w:r>
              <w:rPr>
                <w:rFonts w:hint="eastAsia" w:ascii="仿宋" w:hAnsi="仿宋" w:eastAsia="仿宋" w:cs="仿宋"/>
                <w:sz w:val="24"/>
                <w:szCs w:val="24"/>
              </w:rPr>
              <w:t> </w:t>
            </w:r>
          </w:p>
        </w:tc>
        <w:tc>
          <w:tcPr>
            <w:tcW w:w="2268" w:type="dxa"/>
            <w:tcBorders>
              <w:top w:val="single" w:color="auto" w:sz="4" w:space="0"/>
              <w:left w:val="nil"/>
              <w:bottom w:val="single" w:color="auto" w:sz="4" w:space="0"/>
              <w:right w:val="single" w:color="auto" w:sz="4" w:space="0"/>
            </w:tcBorders>
            <w:vAlign w:val="center"/>
          </w:tcPr>
          <w:p w14:paraId="4D78565B">
            <w:pPr>
              <w:spacing w:line="360" w:lineRule="auto"/>
              <w:jc w:val="center"/>
              <w:rPr>
                <w:rFonts w:ascii="仿宋" w:hAnsi="仿宋" w:eastAsia="仿宋" w:cs="仿宋"/>
                <w:b/>
                <w:bCs/>
                <w:sz w:val="24"/>
                <w:szCs w:val="24"/>
              </w:rPr>
            </w:pPr>
          </w:p>
        </w:tc>
        <w:tc>
          <w:tcPr>
            <w:tcW w:w="1620" w:type="dxa"/>
            <w:tcBorders>
              <w:top w:val="single" w:color="auto" w:sz="4" w:space="0"/>
              <w:left w:val="nil"/>
              <w:bottom w:val="single" w:color="auto" w:sz="4" w:space="0"/>
              <w:right w:val="single" w:color="auto" w:sz="4" w:space="0"/>
            </w:tcBorders>
            <w:vAlign w:val="center"/>
          </w:tcPr>
          <w:p w14:paraId="361DAAC7">
            <w:pPr>
              <w:spacing w:line="360" w:lineRule="auto"/>
              <w:jc w:val="center"/>
              <w:rPr>
                <w:rFonts w:ascii="仿宋" w:hAnsi="仿宋" w:eastAsia="仿宋" w:cs="仿宋"/>
                <w:b/>
                <w:bCs/>
                <w:sz w:val="24"/>
                <w:szCs w:val="24"/>
              </w:rPr>
            </w:pPr>
          </w:p>
        </w:tc>
        <w:tc>
          <w:tcPr>
            <w:tcW w:w="1215" w:type="dxa"/>
            <w:tcBorders>
              <w:top w:val="single" w:color="auto" w:sz="4" w:space="0"/>
              <w:left w:val="nil"/>
              <w:bottom w:val="single" w:color="auto" w:sz="4" w:space="0"/>
              <w:right w:val="single" w:color="auto" w:sz="4" w:space="0"/>
            </w:tcBorders>
            <w:vAlign w:val="center"/>
          </w:tcPr>
          <w:p w14:paraId="5BFEC4D8">
            <w:pPr>
              <w:spacing w:line="360" w:lineRule="auto"/>
              <w:jc w:val="center"/>
              <w:rPr>
                <w:rFonts w:ascii="仿宋" w:hAnsi="仿宋" w:eastAsia="仿宋" w:cs="仿宋"/>
                <w:b/>
                <w:bCs/>
                <w:sz w:val="24"/>
                <w:szCs w:val="24"/>
              </w:rPr>
            </w:pPr>
          </w:p>
        </w:tc>
      </w:tr>
      <w:tr w14:paraId="6715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14:paraId="2DFDAC22">
            <w:pPr>
              <w:spacing w:line="360" w:lineRule="auto"/>
              <w:jc w:val="center"/>
              <w:rPr>
                <w:rFonts w:ascii="仿宋" w:hAnsi="仿宋" w:eastAsia="仿宋" w:cs="仿宋"/>
                <w:b/>
                <w:bCs/>
                <w:sz w:val="24"/>
                <w:szCs w:val="24"/>
              </w:rPr>
            </w:pPr>
          </w:p>
        </w:tc>
        <w:tc>
          <w:tcPr>
            <w:tcW w:w="1276" w:type="dxa"/>
            <w:tcBorders>
              <w:top w:val="single" w:color="auto" w:sz="4" w:space="0"/>
              <w:left w:val="nil"/>
              <w:bottom w:val="single" w:color="auto" w:sz="4" w:space="0"/>
              <w:right w:val="single" w:color="auto" w:sz="4" w:space="0"/>
            </w:tcBorders>
            <w:vAlign w:val="center"/>
          </w:tcPr>
          <w:p w14:paraId="0B9867C1">
            <w:pPr>
              <w:spacing w:line="360" w:lineRule="auto"/>
              <w:jc w:val="center"/>
              <w:rPr>
                <w:rFonts w:ascii="仿宋" w:hAnsi="仿宋" w:eastAsia="仿宋" w:cs="仿宋"/>
                <w:b/>
                <w:bCs/>
                <w:sz w:val="24"/>
                <w:szCs w:val="24"/>
              </w:rPr>
            </w:pPr>
          </w:p>
        </w:tc>
        <w:tc>
          <w:tcPr>
            <w:tcW w:w="2268" w:type="dxa"/>
            <w:tcBorders>
              <w:top w:val="single" w:color="auto" w:sz="4" w:space="0"/>
              <w:left w:val="nil"/>
              <w:bottom w:val="single" w:color="auto" w:sz="4" w:space="0"/>
              <w:right w:val="single" w:color="auto" w:sz="4" w:space="0"/>
            </w:tcBorders>
            <w:vAlign w:val="center"/>
          </w:tcPr>
          <w:p w14:paraId="0C0B0CCB">
            <w:pPr>
              <w:adjustRightInd w:val="0"/>
              <w:spacing w:line="360" w:lineRule="auto"/>
              <w:ind w:right="-2" w:rightChars="-1" w:firstLine="480" w:firstLineChars="200"/>
              <w:rPr>
                <w:rFonts w:ascii="仿宋" w:hAnsi="仿宋" w:eastAsia="仿宋" w:cs="仿宋"/>
                <w:sz w:val="24"/>
                <w:szCs w:val="24"/>
              </w:rPr>
            </w:pPr>
          </w:p>
        </w:tc>
        <w:tc>
          <w:tcPr>
            <w:tcW w:w="2268" w:type="dxa"/>
            <w:tcBorders>
              <w:top w:val="single" w:color="auto" w:sz="4" w:space="0"/>
              <w:left w:val="nil"/>
              <w:bottom w:val="single" w:color="auto" w:sz="4" w:space="0"/>
              <w:right w:val="single" w:color="auto" w:sz="4" w:space="0"/>
            </w:tcBorders>
            <w:vAlign w:val="center"/>
          </w:tcPr>
          <w:p w14:paraId="0EC9E6A4">
            <w:pPr>
              <w:spacing w:line="360" w:lineRule="auto"/>
              <w:jc w:val="center"/>
              <w:rPr>
                <w:rFonts w:ascii="仿宋" w:hAnsi="仿宋" w:eastAsia="仿宋" w:cs="仿宋"/>
                <w:b/>
                <w:bCs/>
                <w:sz w:val="24"/>
                <w:szCs w:val="24"/>
              </w:rPr>
            </w:pPr>
          </w:p>
        </w:tc>
        <w:tc>
          <w:tcPr>
            <w:tcW w:w="1620" w:type="dxa"/>
            <w:tcBorders>
              <w:top w:val="single" w:color="auto" w:sz="4" w:space="0"/>
              <w:left w:val="nil"/>
              <w:bottom w:val="single" w:color="auto" w:sz="4" w:space="0"/>
              <w:right w:val="single" w:color="auto" w:sz="4" w:space="0"/>
            </w:tcBorders>
            <w:vAlign w:val="center"/>
          </w:tcPr>
          <w:p w14:paraId="043F0F62">
            <w:pPr>
              <w:spacing w:line="360" w:lineRule="auto"/>
              <w:jc w:val="center"/>
              <w:rPr>
                <w:rFonts w:ascii="仿宋" w:hAnsi="仿宋" w:eastAsia="仿宋" w:cs="仿宋"/>
                <w:b/>
                <w:bCs/>
                <w:sz w:val="24"/>
                <w:szCs w:val="24"/>
              </w:rPr>
            </w:pPr>
          </w:p>
        </w:tc>
        <w:tc>
          <w:tcPr>
            <w:tcW w:w="1215" w:type="dxa"/>
            <w:tcBorders>
              <w:top w:val="single" w:color="auto" w:sz="4" w:space="0"/>
              <w:left w:val="nil"/>
              <w:bottom w:val="single" w:color="auto" w:sz="4" w:space="0"/>
              <w:right w:val="single" w:color="auto" w:sz="4" w:space="0"/>
            </w:tcBorders>
            <w:vAlign w:val="center"/>
          </w:tcPr>
          <w:p w14:paraId="143430AB">
            <w:pPr>
              <w:spacing w:line="360" w:lineRule="auto"/>
              <w:jc w:val="center"/>
              <w:rPr>
                <w:rFonts w:ascii="仿宋" w:hAnsi="仿宋" w:eastAsia="仿宋" w:cs="仿宋"/>
                <w:b/>
                <w:bCs/>
                <w:sz w:val="24"/>
                <w:szCs w:val="24"/>
              </w:rPr>
            </w:pPr>
          </w:p>
        </w:tc>
      </w:tr>
      <w:tr w14:paraId="7A57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14:paraId="0A77694E">
            <w:pPr>
              <w:spacing w:line="360" w:lineRule="auto"/>
              <w:jc w:val="center"/>
              <w:rPr>
                <w:rFonts w:ascii="仿宋" w:hAnsi="仿宋" w:eastAsia="仿宋" w:cs="仿宋"/>
                <w:b/>
                <w:bCs/>
                <w:sz w:val="24"/>
                <w:szCs w:val="24"/>
              </w:rPr>
            </w:pPr>
          </w:p>
        </w:tc>
        <w:tc>
          <w:tcPr>
            <w:tcW w:w="1276" w:type="dxa"/>
            <w:tcBorders>
              <w:top w:val="single" w:color="auto" w:sz="4" w:space="0"/>
              <w:left w:val="nil"/>
              <w:bottom w:val="single" w:color="auto" w:sz="4" w:space="0"/>
              <w:right w:val="single" w:color="auto" w:sz="4" w:space="0"/>
            </w:tcBorders>
            <w:vAlign w:val="center"/>
          </w:tcPr>
          <w:p w14:paraId="49B85576">
            <w:pPr>
              <w:spacing w:line="360" w:lineRule="auto"/>
              <w:jc w:val="center"/>
              <w:rPr>
                <w:rFonts w:ascii="仿宋" w:hAnsi="仿宋" w:eastAsia="仿宋" w:cs="仿宋"/>
                <w:b/>
                <w:bCs/>
                <w:sz w:val="24"/>
                <w:szCs w:val="24"/>
              </w:rPr>
            </w:pPr>
          </w:p>
        </w:tc>
        <w:tc>
          <w:tcPr>
            <w:tcW w:w="2268" w:type="dxa"/>
            <w:tcBorders>
              <w:top w:val="single" w:color="auto" w:sz="4" w:space="0"/>
              <w:left w:val="nil"/>
              <w:bottom w:val="single" w:color="auto" w:sz="4" w:space="0"/>
              <w:right w:val="single" w:color="auto" w:sz="4" w:space="0"/>
            </w:tcBorders>
            <w:vAlign w:val="center"/>
          </w:tcPr>
          <w:p w14:paraId="3BC25D4D">
            <w:pPr>
              <w:adjustRightInd w:val="0"/>
              <w:spacing w:line="360" w:lineRule="auto"/>
              <w:ind w:right="-2" w:rightChars="-1" w:firstLine="480" w:firstLineChars="200"/>
              <w:rPr>
                <w:rFonts w:ascii="仿宋" w:hAnsi="仿宋" w:eastAsia="仿宋" w:cs="仿宋"/>
                <w:sz w:val="24"/>
                <w:szCs w:val="24"/>
              </w:rPr>
            </w:pPr>
          </w:p>
        </w:tc>
        <w:tc>
          <w:tcPr>
            <w:tcW w:w="2268" w:type="dxa"/>
            <w:tcBorders>
              <w:top w:val="single" w:color="auto" w:sz="4" w:space="0"/>
              <w:left w:val="nil"/>
              <w:bottom w:val="single" w:color="auto" w:sz="4" w:space="0"/>
              <w:right w:val="single" w:color="auto" w:sz="4" w:space="0"/>
            </w:tcBorders>
            <w:vAlign w:val="center"/>
          </w:tcPr>
          <w:p w14:paraId="3B15911A">
            <w:pPr>
              <w:spacing w:line="360" w:lineRule="auto"/>
              <w:jc w:val="center"/>
              <w:rPr>
                <w:rFonts w:ascii="仿宋" w:hAnsi="仿宋" w:eastAsia="仿宋" w:cs="仿宋"/>
                <w:b/>
                <w:bCs/>
                <w:sz w:val="24"/>
                <w:szCs w:val="24"/>
              </w:rPr>
            </w:pPr>
          </w:p>
        </w:tc>
        <w:tc>
          <w:tcPr>
            <w:tcW w:w="1620" w:type="dxa"/>
            <w:tcBorders>
              <w:top w:val="single" w:color="auto" w:sz="4" w:space="0"/>
              <w:left w:val="nil"/>
              <w:bottom w:val="single" w:color="auto" w:sz="4" w:space="0"/>
              <w:right w:val="single" w:color="auto" w:sz="4" w:space="0"/>
            </w:tcBorders>
            <w:vAlign w:val="center"/>
          </w:tcPr>
          <w:p w14:paraId="4FE8617F">
            <w:pPr>
              <w:spacing w:line="360" w:lineRule="auto"/>
              <w:jc w:val="center"/>
              <w:rPr>
                <w:rFonts w:ascii="仿宋" w:hAnsi="仿宋" w:eastAsia="仿宋" w:cs="仿宋"/>
                <w:b/>
                <w:bCs/>
                <w:sz w:val="24"/>
                <w:szCs w:val="24"/>
              </w:rPr>
            </w:pPr>
          </w:p>
        </w:tc>
        <w:tc>
          <w:tcPr>
            <w:tcW w:w="1215" w:type="dxa"/>
            <w:tcBorders>
              <w:top w:val="single" w:color="auto" w:sz="4" w:space="0"/>
              <w:left w:val="nil"/>
              <w:bottom w:val="single" w:color="auto" w:sz="4" w:space="0"/>
              <w:right w:val="single" w:color="auto" w:sz="4" w:space="0"/>
            </w:tcBorders>
            <w:vAlign w:val="center"/>
          </w:tcPr>
          <w:p w14:paraId="575FC511">
            <w:pPr>
              <w:spacing w:line="360" w:lineRule="auto"/>
              <w:jc w:val="center"/>
              <w:rPr>
                <w:rFonts w:ascii="仿宋" w:hAnsi="仿宋" w:eastAsia="仿宋" w:cs="仿宋"/>
                <w:b/>
                <w:bCs/>
                <w:sz w:val="24"/>
                <w:szCs w:val="24"/>
              </w:rPr>
            </w:pPr>
          </w:p>
        </w:tc>
      </w:tr>
    </w:tbl>
    <w:p w14:paraId="437D79CC">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66278CDD">
      <w:pPr>
        <w:spacing w:line="360" w:lineRule="auto"/>
        <w:rPr>
          <w:rFonts w:ascii="仿宋" w:hAnsi="仿宋" w:eastAsia="仿宋" w:cs="仿宋"/>
          <w:sz w:val="24"/>
          <w:szCs w:val="24"/>
        </w:rPr>
      </w:pPr>
      <w:r>
        <w:rPr>
          <w:rFonts w:hint="eastAsia" w:ascii="仿宋" w:hAnsi="仿宋" w:eastAsia="仿宋" w:cs="仿宋"/>
          <w:sz w:val="24"/>
          <w:szCs w:val="24"/>
        </w:rPr>
        <w:t>注：</w:t>
      </w:r>
    </w:p>
    <w:p w14:paraId="166FAF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1、请逐条对应本项目磋商文件第六章“磋商内容及要求”中技术商务条款的要求，认真填写该表。</w:t>
      </w:r>
    </w:p>
    <w:p w14:paraId="48DFF02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14:paraId="3664D1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3、本表如有多页，应逐页加盖公章。</w:t>
      </w:r>
    </w:p>
    <w:p w14:paraId="146E61AB">
      <w:pPr>
        <w:pStyle w:val="8"/>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6E81C57D">
      <w:pPr>
        <w:pStyle w:val="8"/>
        <w:spacing w:line="360" w:lineRule="auto"/>
        <w:rPr>
          <w:rFonts w:ascii="仿宋" w:hAnsi="仿宋" w:eastAsia="仿宋" w:cs="仿宋"/>
          <w:sz w:val="24"/>
          <w:szCs w:val="24"/>
        </w:rPr>
      </w:pPr>
      <w:r>
        <w:rPr>
          <w:rFonts w:hint="eastAsia" w:ascii="仿宋" w:hAnsi="仿宋" w:eastAsia="仿宋" w:cs="仿宋"/>
          <w:sz w:val="24"/>
          <w:szCs w:val="24"/>
        </w:rPr>
        <w:t>磋商供应商（全称并加盖公章）：</w:t>
      </w:r>
    </w:p>
    <w:p w14:paraId="5E73E73C">
      <w:pPr>
        <w:spacing w:line="360" w:lineRule="auto"/>
        <w:rPr>
          <w:rFonts w:ascii="仿宋" w:hAnsi="仿宋" w:eastAsia="仿宋" w:cs="仿宋"/>
          <w:sz w:val="24"/>
          <w:szCs w:val="24"/>
        </w:rPr>
      </w:pPr>
      <w:r>
        <w:rPr>
          <w:rFonts w:hint="eastAsia" w:ascii="仿宋" w:hAnsi="仿宋" w:eastAsia="仿宋" w:cs="仿宋"/>
          <w:sz w:val="24"/>
          <w:szCs w:val="24"/>
        </w:rPr>
        <w:t>磋商供应商授权代表签字：</w:t>
      </w:r>
    </w:p>
    <w:p w14:paraId="0134759F">
      <w:pPr>
        <w:pStyle w:val="14"/>
        <w:spacing w:line="360" w:lineRule="auto"/>
        <w:rPr>
          <w:rFonts w:ascii="仿宋" w:hAnsi="仿宋" w:eastAsia="仿宋"/>
          <w:sz w:val="24"/>
          <w:szCs w:val="24"/>
        </w:rPr>
      </w:pPr>
    </w:p>
    <w:p w14:paraId="7E2C76B6">
      <w:pPr>
        <w:widowControl/>
        <w:jc w:val="left"/>
        <w:rPr>
          <w:rFonts w:ascii="仿宋" w:hAnsi="仿宋" w:eastAsia="仿宋"/>
          <w:b/>
          <w:bCs/>
          <w:sz w:val="24"/>
          <w:szCs w:val="24"/>
          <w:lang w:bidi="ar-SA"/>
        </w:rPr>
      </w:pPr>
      <w:r>
        <w:rPr>
          <w:rFonts w:ascii="仿宋" w:hAnsi="仿宋" w:eastAsia="仿宋"/>
          <w:b/>
          <w:bCs/>
          <w:sz w:val="24"/>
          <w:szCs w:val="24"/>
        </w:rPr>
        <w:br w:type="page"/>
      </w:r>
    </w:p>
    <w:p w14:paraId="4628FD33">
      <w:pPr>
        <w:pStyle w:val="14"/>
        <w:spacing w:line="360" w:lineRule="auto"/>
        <w:jc w:val="center"/>
        <w:rPr>
          <w:rFonts w:ascii="仿宋" w:hAnsi="仿宋" w:eastAsia="仿宋"/>
          <w:sz w:val="24"/>
          <w:szCs w:val="24"/>
        </w:rPr>
      </w:pPr>
      <w:r>
        <w:rPr>
          <w:rFonts w:ascii="仿宋" w:hAnsi="仿宋" w:eastAsia="仿宋"/>
          <w:b/>
          <w:bCs/>
          <w:sz w:val="28"/>
          <w:szCs w:val="28"/>
        </w:rPr>
        <w:t>第三部分</w:t>
      </w:r>
      <w:r>
        <w:rPr>
          <w:rFonts w:hint="eastAsia" w:ascii="仿宋" w:hAnsi="仿宋" w:eastAsia="仿宋"/>
          <w:b/>
          <w:bCs/>
          <w:sz w:val="28"/>
          <w:szCs w:val="28"/>
        </w:rPr>
        <w:t xml:space="preserve">  </w:t>
      </w:r>
      <w:r>
        <w:rPr>
          <w:rFonts w:ascii="仿宋" w:hAnsi="仿宋" w:eastAsia="仿宋"/>
          <w:b/>
          <w:bCs/>
          <w:sz w:val="28"/>
          <w:szCs w:val="28"/>
        </w:rPr>
        <w:t>报价标文件（单独密封）</w:t>
      </w:r>
    </w:p>
    <w:p w14:paraId="61B9479D">
      <w:pPr>
        <w:pStyle w:val="14"/>
        <w:spacing w:line="360" w:lineRule="auto"/>
        <w:jc w:val="center"/>
        <w:rPr>
          <w:rFonts w:ascii="仿宋" w:hAnsi="仿宋" w:eastAsia="仿宋"/>
          <w:sz w:val="24"/>
          <w:szCs w:val="24"/>
        </w:rPr>
      </w:pPr>
      <w:r>
        <w:rPr>
          <w:rFonts w:ascii="仿宋" w:hAnsi="仿宋" w:eastAsia="仿宋"/>
          <w:sz w:val="24"/>
          <w:szCs w:val="24"/>
        </w:rPr>
        <w:t xml:space="preserve"> </w:t>
      </w:r>
    </w:p>
    <w:p w14:paraId="2D87A8D9">
      <w:pPr>
        <w:pStyle w:val="14"/>
        <w:spacing w:line="360" w:lineRule="auto"/>
        <w:jc w:val="center"/>
        <w:rPr>
          <w:rFonts w:ascii="仿宋" w:hAnsi="仿宋" w:eastAsia="仿宋"/>
          <w:b/>
          <w:bCs/>
          <w:sz w:val="24"/>
          <w:szCs w:val="24"/>
        </w:rPr>
      </w:pPr>
      <w:r>
        <w:rPr>
          <w:rFonts w:ascii="仿宋" w:hAnsi="仿宋" w:eastAsia="仿宋"/>
          <w:sz w:val="24"/>
          <w:szCs w:val="24"/>
        </w:rPr>
        <w:t>目录</w:t>
      </w:r>
    </w:p>
    <w:p w14:paraId="3D7BBE5D">
      <w:pPr>
        <w:pStyle w:val="14"/>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封面</w:t>
      </w:r>
    </w:p>
    <w:p w14:paraId="678FFAC7">
      <w:pPr>
        <w:pStyle w:val="14"/>
        <w:spacing w:line="360" w:lineRule="auto"/>
        <w:rPr>
          <w:rFonts w:ascii="仿宋" w:hAnsi="仿宋" w:eastAsia="仿宋"/>
          <w:sz w:val="24"/>
          <w:szCs w:val="24"/>
        </w:rPr>
      </w:pPr>
      <w:r>
        <w:rPr>
          <w:rFonts w:ascii="仿宋" w:hAnsi="仿宋" w:eastAsia="仿宋"/>
          <w:sz w:val="24"/>
          <w:szCs w:val="24"/>
        </w:rPr>
        <w:t>2、供应商响应文件报价</w:t>
      </w:r>
      <w:r>
        <w:rPr>
          <w:rFonts w:hint="eastAsia" w:ascii="仿宋" w:hAnsi="仿宋" w:eastAsia="仿宋"/>
          <w:sz w:val="24"/>
          <w:szCs w:val="24"/>
        </w:rPr>
        <w:t>总</w:t>
      </w:r>
      <w:r>
        <w:rPr>
          <w:rFonts w:ascii="仿宋" w:hAnsi="仿宋" w:eastAsia="仿宋"/>
          <w:sz w:val="24"/>
          <w:szCs w:val="24"/>
        </w:rPr>
        <w:t>表（第一次磋商报价）</w:t>
      </w:r>
    </w:p>
    <w:p w14:paraId="767E2198">
      <w:pPr>
        <w:pStyle w:val="14"/>
        <w:spacing w:line="360" w:lineRule="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、供应商响应文件报价</w:t>
      </w:r>
      <w:r>
        <w:rPr>
          <w:rFonts w:hint="eastAsia" w:ascii="仿宋" w:hAnsi="仿宋" w:eastAsia="仿宋"/>
          <w:sz w:val="24"/>
          <w:szCs w:val="24"/>
        </w:rPr>
        <w:t>总</w:t>
      </w:r>
      <w:r>
        <w:rPr>
          <w:rFonts w:ascii="仿宋" w:hAnsi="仿宋" w:eastAsia="仿宋"/>
          <w:sz w:val="24"/>
          <w:szCs w:val="24"/>
        </w:rPr>
        <w:t>表（最终）</w:t>
      </w:r>
    </w:p>
    <w:p w14:paraId="0DC8A122">
      <w:pPr>
        <w:pStyle w:val="15"/>
        <w:rPr>
          <w:rFonts w:ascii="仿宋" w:hAnsi="仿宋" w:eastAsia="仿宋"/>
          <w:b/>
          <w:bCs/>
          <w:sz w:val="24"/>
          <w:szCs w:val="24"/>
        </w:rPr>
      </w:pPr>
    </w:p>
    <w:p w14:paraId="095C610B">
      <w:pPr>
        <w:pStyle w:val="15"/>
        <w:rPr>
          <w:rFonts w:ascii="仿宋" w:hAnsi="仿宋" w:eastAsia="仿宋"/>
          <w:b/>
          <w:bCs/>
          <w:sz w:val="24"/>
          <w:szCs w:val="24"/>
        </w:rPr>
      </w:pPr>
      <w:r>
        <w:rPr>
          <w:rFonts w:ascii="仿宋" w:hAnsi="仿宋" w:eastAsia="仿宋"/>
          <w:b/>
          <w:bCs/>
          <w:sz w:val="24"/>
          <w:szCs w:val="24"/>
        </w:rPr>
        <w:t>注明：</w:t>
      </w:r>
    </w:p>
    <w:p w14:paraId="2A4F64E2">
      <w:pPr>
        <w:pStyle w:val="15"/>
        <w:rPr>
          <w:rFonts w:ascii="仿宋" w:hAnsi="仿宋" w:eastAsia="仿宋"/>
          <w:b/>
          <w:bCs/>
          <w:sz w:val="24"/>
          <w:szCs w:val="24"/>
        </w:rPr>
      </w:pPr>
      <w:r>
        <w:rPr>
          <w:rFonts w:ascii="仿宋" w:hAnsi="仿宋" w:eastAsia="仿宋"/>
          <w:b/>
          <w:bCs/>
          <w:sz w:val="24"/>
          <w:szCs w:val="24"/>
        </w:rPr>
        <w:t>（1）供应商响应文件报价</w:t>
      </w:r>
      <w:r>
        <w:rPr>
          <w:rFonts w:hint="eastAsia" w:ascii="仿宋" w:hAnsi="仿宋" w:eastAsia="仿宋"/>
          <w:b/>
          <w:bCs/>
          <w:sz w:val="24"/>
          <w:szCs w:val="24"/>
        </w:rPr>
        <w:t>总</w:t>
      </w:r>
      <w:r>
        <w:rPr>
          <w:rFonts w:ascii="仿宋" w:hAnsi="仿宋" w:eastAsia="仿宋"/>
          <w:b/>
          <w:bCs/>
          <w:sz w:val="24"/>
          <w:szCs w:val="24"/>
        </w:rPr>
        <w:t>表（最终），此表投标报价请空着，在开标现场填写，需提前加盖公章。</w:t>
      </w:r>
    </w:p>
    <w:p w14:paraId="7B973808">
      <w:pPr>
        <w:pStyle w:val="15"/>
        <w:rPr>
          <w:rFonts w:ascii="仿宋" w:hAnsi="仿宋" w:eastAsia="仿宋"/>
          <w:b/>
          <w:bCs/>
        </w:rPr>
      </w:pPr>
      <w:r>
        <w:br w:type="page"/>
      </w:r>
    </w:p>
    <w:p w14:paraId="7E05C862">
      <w:pPr>
        <w:pStyle w:val="14"/>
        <w:rPr>
          <w:rFonts w:ascii="仿宋" w:hAnsi="仿宋" w:eastAsia="仿宋"/>
          <w:b/>
          <w:bCs/>
          <w:sz w:val="28"/>
          <w:szCs w:val="28"/>
        </w:rPr>
      </w:pPr>
      <w:r>
        <w:rPr>
          <w:rFonts w:ascii="仿宋" w:hAnsi="仿宋" w:eastAsia="仿宋"/>
          <w:sz w:val="24"/>
          <w:szCs w:val="24"/>
        </w:rPr>
        <w:t xml:space="preserve">   </w:t>
      </w:r>
      <w:r>
        <w:rPr>
          <w:rFonts w:ascii="仿宋" w:hAnsi="仿宋" w:eastAsia="仿宋"/>
          <w:sz w:val="32"/>
          <w:szCs w:val="32"/>
        </w:rPr>
        <w:t xml:space="preserve">    </w:t>
      </w:r>
      <w:r>
        <w:rPr>
          <w:rFonts w:ascii="仿宋" w:hAnsi="仿宋" w:eastAsia="仿宋"/>
          <w:b/>
          <w:bCs/>
          <w:sz w:val="28"/>
          <w:szCs w:val="28"/>
        </w:rPr>
        <w:t>一、供应商响应文件报价</w:t>
      </w:r>
      <w:r>
        <w:rPr>
          <w:rFonts w:hint="eastAsia" w:ascii="仿宋" w:hAnsi="仿宋" w:eastAsia="仿宋"/>
          <w:b/>
          <w:bCs/>
          <w:sz w:val="28"/>
          <w:szCs w:val="28"/>
        </w:rPr>
        <w:t>总</w:t>
      </w:r>
      <w:r>
        <w:rPr>
          <w:rFonts w:ascii="仿宋" w:hAnsi="仿宋" w:eastAsia="仿宋"/>
          <w:b/>
          <w:bCs/>
          <w:sz w:val="28"/>
          <w:szCs w:val="28"/>
        </w:rPr>
        <w:t>表（第一次磋商报价）</w:t>
      </w:r>
    </w:p>
    <w:tbl>
      <w:tblPr>
        <w:tblStyle w:val="12"/>
        <w:tblpPr w:leftFromText="180" w:rightFromText="180" w:vertAnchor="text" w:horzAnchor="margin" w:tblpXSpec="center" w:tblpY="225"/>
        <w:tblW w:w="89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7122"/>
      </w:tblGrid>
      <w:tr w14:paraId="4912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2" w:hRule="atLeast"/>
        </w:trPr>
        <w:tc>
          <w:tcPr>
            <w:tcW w:w="1809" w:type="dxa"/>
            <w:vAlign w:val="center"/>
          </w:tcPr>
          <w:p w14:paraId="0D8660A1">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项目名称    项目编号</w:t>
            </w:r>
          </w:p>
        </w:tc>
        <w:tc>
          <w:tcPr>
            <w:tcW w:w="7122" w:type="dxa"/>
            <w:vAlign w:val="center"/>
          </w:tcPr>
          <w:p w14:paraId="14B27102">
            <w:pPr>
              <w:adjustRightInd w:val="0"/>
              <w:snapToGrid w:val="0"/>
              <w:spacing w:line="360" w:lineRule="auto"/>
              <w:rPr>
                <w:rFonts w:ascii="仿宋" w:hAnsi="仿宋" w:eastAsia="仿宋" w:cs="宋体"/>
                <w:sz w:val="23"/>
                <w:szCs w:val="23"/>
              </w:rPr>
            </w:pPr>
          </w:p>
        </w:tc>
      </w:tr>
      <w:tr w14:paraId="5131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7" w:hRule="atLeast"/>
        </w:trPr>
        <w:tc>
          <w:tcPr>
            <w:tcW w:w="1809" w:type="dxa"/>
            <w:vAlign w:val="center"/>
          </w:tcPr>
          <w:p w14:paraId="413E5413">
            <w:pPr>
              <w:adjustRightInd w:val="0"/>
              <w:snapToGrid w:val="0"/>
              <w:spacing w:line="360" w:lineRule="auto"/>
              <w:jc w:val="center"/>
              <w:rPr>
                <w:rFonts w:ascii="仿宋" w:hAnsi="仿宋" w:eastAsia="仿宋" w:cs="宋体"/>
                <w:sz w:val="23"/>
                <w:szCs w:val="23"/>
              </w:rPr>
            </w:pPr>
            <w:r>
              <w:rPr>
                <w:rFonts w:hint="eastAsia" w:ascii="仿宋" w:hAnsi="仿宋" w:eastAsia="仿宋" w:cs="宋体"/>
                <w:b/>
                <w:bCs/>
                <w:sz w:val="24"/>
                <w:szCs w:val="24"/>
              </w:rPr>
              <w:t>最高限价            （元/人次/年）</w:t>
            </w:r>
          </w:p>
        </w:tc>
        <w:tc>
          <w:tcPr>
            <w:tcW w:w="7122" w:type="dxa"/>
            <w:vAlign w:val="center"/>
          </w:tcPr>
          <w:p w14:paraId="77731894">
            <w:pPr>
              <w:adjustRightInd w:val="0"/>
              <w:snapToGrid w:val="0"/>
              <w:spacing w:line="360" w:lineRule="auto"/>
              <w:ind w:firstLine="482" w:firstLineChars="200"/>
              <w:rPr>
                <w:rFonts w:ascii="仿宋" w:hAnsi="仿宋" w:eastAsia="仿宋" w:cs="宋体"/>
                <w:sz w:val="23"/>
                <w:szCs w:val="23"/>
              </w:rPr>
            </w:pPr>
            <w:r>
              <w:rPr>
                <w:rFonts w:hint="eastAsia" w:ascii="仿宋" w:hAnsi="仿宋" w:eastAsia="仿宋" w:cs="宋体"/>
                <w:b/>
                <w:bCs/>
                <w:sz w:val="24"/>
                <w:szCs w:val="24"/>
              </w:rPr>
              <w:t>660元/人次/年</w:t>
            </w:r>
          </w:p>
        </w:tc>
      </w:tr>
      <w:tr w14:paraId="5673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21" w:hRule="atLeast"/>
        </w:trPr>
        <w:tc>
          <w:tcPr>
            <w:tcW w:w="1809" w:type="dxa"/>
            <w:vAlign w:val="center"/>
          </w:tcPr>
          <w:p w14:paraId="1165B8A1">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投标报价（综合单价）</w:t>
            </w:r>
          </w:p>
          <w:p w14:paraId="31F1BE49">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（元/人次/年）</w:t>
            </w:r>
          </w:p>
        </w:tc>
        <w:tc>
          <w:tcPr>
            <w:tcW w:w="7122" w:type="dxa"/>
            <w:vAlign w:val="center"/>
          </w:tcPr>
          <w:p w14:paraId="63F29EF9">
            <w:pPr>
              <w:adjustRightInd w:val="0"/>
              <w:snapToGrid w:val="0"/>
              <w:spacing w:line="360" w:lineRule="auto"/>
              <w:rPr>
                <w:rFonts w:ascii="仿宋" w:hAnsi="仿宋" w:eastAsia="仿宋" w:cs="宋体"/>
                <w:sz w:val="23"/>
                <w:szCs w:val="23"/>
              </w:rPr>
            </w:pPr>
            <w:r>
              <w:rPr>
                <w:rFonts w:hint="eastAsia" w:ascii="仿宋" w:hAnsi="仿宋" w:eastAsia="仿宋" w:cs="宋体"/>
                <w:sz w:val="23"/>
                <w:szCs w:val="23"/>
              </w:rPr>
              <w:t xml:space="preserve">小写：                     大写：                    </w:t>
            </w:r>
          </w:p>
        </w:tc>
      </w:tr>
      <w:tr w14:paraId="1D13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1809" w:type="dxa"/>
            <w:vAlign w:val="center"/>
          </w:tcPr>
          <w:p w14:paraId="06CC3221">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承诺</w:t>
            </w:r>
          </w:p>
        </w:tc>
        <w:tc>
          <w:tcPr>
            <w:tcW w:w="7122" w:type="dxa"/>
            <w:vAlign w:val="center"/>
          </w:tcPr>
          <w:p w14:paraId="4ADA0194">
            <w:pPr>
              <w:autoSpaceDE w:val="0"/>
              <w:autoSpaceDN w:val="0"/>
              <w:adjustRightInd w:val="0"/>
              <w:jc w:val="left"/>
              <w:rPr>
                <w:rFonts w:ascii="仿宋" w:hAnsi="仿宋" w:eastAsia="仿宋" w:cs="宋体"/>
                <w:sz w:val="24"/>
              </w:rPr>
            </w:pPr>
            <w:r>
              <w:rPr>
                <w:rFonts w:hint="eastAsia" w:ascii="仿宋" w:hAnsi="仿宋" w:eastAsia="仿宋" w:cs="宋体"/>
                <w:sz w:val="23"/>
                <w:szCs w:val="23"/>
              </w:rPr>
              <w:t>本报价包括自项目委托起至完成磋商文件规定的全部工作内容的费用，中标后不再收取其它任何费用。并承诺每年的</w:t>
            </w:r>
            <w:r>
              <w:rPr>
                <w:rFonts w:hint="eastAsia" w:ascii="仿宋" w:hAnsi="仿宋" w:eastAsia="仿宋" w:cs="宋体"/>
                <w:sz w:val="24"/>
              </w:rPr>
              <w:t>最终结算总价格为：中标金额/人次*实际数量，实际数量是以采购人核实并确认的数量为准。</w:t>
            </w:r>
          </w:p>
        </w:tc>
      </w:tr>
    </w:tbl>
    <w:p w14:paraId="470AA764">
      <w:pPr>
        <w:pStyle w:val="14"/>
        <w:spacing w:line="360" w:lineRule="auto"/>
        <w:rPr>
          <w:rFonts w:ascii="仿宋" w:hAnsi="仿宋" w:eastAsia="仿宋"/>
          <w:sz w:val="24"/>
          <w:szCs w:val="24"/>
        </w:rPr>
      </w:pPr>
      <w:r>
        <w:rPr>
          <w:rFonts w:ascii="仿宋" w:hAnsi="仿宋" w:eastAsia="仿宋"/>
          <w:sz w:val="24"/>
          <w:szCs w:val="24"/>
        </w:rPr>
        <w:t xml:space="preserve"> </w:t>
      </w:r>
    </w:p>
    <w:p w14:paraId="7DB0C0AD">
      <w:pPr>
        <w:pStyle w:val="26"/>
        <w:spacing w:line="480" w:lineRule="exact"/>
        <w:rPr>
          <w:rFonts w:ascii="仿宋" w:hAnsi="仿宋" w:eastAsia="仿宋" w:cs="宋体"/>
          <w:kern w:val="2"/>
          <w:sz w:val="24"/>
          <w:lang w:bidi="ar-SA"/>
        </w:rPr>
      </w:pPr>
      <w:r>
        <w:rPr>
          <w:rFonts w:hint="eastAsia" w:ascii="仿宋" w:hAnsi="仿宋" w:eastAsia="仿宋" w:cs="宋体"/>
          <w:kern w:val="2"/>
          <w:sz w:val="24"/>
          <w:lang w:bidi="ar-SA"/>
        </w:rPr>
        <w:t>注：</w:t>
      </w:r>
    </w:p>
    <w:p w14:paraId="42DC09EA">
      <w:pPr>
        <w:spacing w:line="480" w:lineRule="exact"/>
        <w:ind w:firstLine="480" w:firstLineChars="200"/>
        <w:rPr>
          <w:rFonts w:ascii="仿宋" w:hAnsi="仿宋" w:eastAsia="仿宋" w:cs="宋体"/>
          <w:kern w:val="2"/>
          <w:sz w:val="24"/>
          <w:szCs w:val="24"/>
          <w:lang w:bidi="ar-SA"/>
        </w:rPr>
      </w:pPr>
      <w:r>
        <w:rPr>
          <w:rFonts w:hint="eastAsia" w:ascii="仿宋" w:hAnsi="仿宋" w:eastAsia="仿宋" w:cs="宋体"/>
          <w:kern w:val="2"/>
          <w:sz w:val="24"/>
          <w:szCs w:val="24"/>
          <w:lang w:bidi="ar-SA"/>
        </w:rPr>
        <w:t>1、本表式，不得自行改动。</w:t>
      </w:r>
    </w:p>
    <w:p w14:paraId="4640416D">
      <w:pPr>
        <w:pStyle w:val="26"/>
        <w:spacing w:line="480" w:lineRule="exact"/>
        <w:ind w:firstLine="480" w:firstLineChars="200"/>
        <w:rPr>
          <w:rFonts w:ascii="仿宋" w:hAnsi="仿宋" w:eastAsia="仿宋" w:cs="宋体"/>
          <w:kern w:val="2"/>
          <w:sz w:val="24"/>
          <w:lang w:bidi="ar-SA"/>
        </w:rPr>
      </w:pPr>
      <w:r>
        <w:rPr>
          <w:rFonts w:hint="eastAsia" w:ascii="仿宋" w:hAnsi="仿宋" w:eastAsia="仿宋" w:cs="宋体"/>
          <w:kern w:val="2"/>
          <w:sz w:val="24"/>
          <w:lang w:bidi="ar-SA"/>
        </w:rPr>
        <w:t>2、最终报价将在开标现场填写，响应文件密封提交时只需填写磋商报价总计（首次）的报价。且最终报价时，磋商响应报价明细表按同比例下浮。</w:t>
      </w:r>
    </w:p>
    <w:p w14:paraId="0D6D2999">
      <w:pPr>
        <w:spacing w:line="480" w:lineRule="exact"/>
        <w:ind w:firstLine="480" w:firstLineChars="200"/>
        <w:rPr>
          <w:rFonts w:ascii="仿宋" w:hAnsi="仿宋" w:eastAsia="仿宋"/>
          <w:sz w:val="24"/>
          <w:szCs w:val="24"/>
        </w:rPr>
      </w:pPr>
      <w:r>
        <w:rPr>
          <w:rFonts w:hint="eastAsia" w:ascii="仿宋" w:hAnsi="仿宋" w:eastAsia="仿宋" w:cs="宋体"/>
          <w:kern w:val="2"/>
          <w:sz w:val="24"/>
          <w:szCs w:val="24"/>
          <w:lang w:bidi="ar-SA"/>
        </w:rPr>
        <w:t>3、投标总报价（以人民币计价）应</w:t>
      </w:r>
      <w:r>
        <w:rPr>
          <w:rFonts w:ascii="仿宋" w:hAnsi="仿宋" w:eastAsia="仿宋" w:cs="宋体"/>
          <w:sz w:val="23"/>
          <w:szCs w:val="23"/>
        </w:rPr>
        <w:t>包括但不限于</w:t>
      </w:r>
      <w:r>
        <w:rPr>
          <w:rFonts w:hint="eastAsia" w:ascii="仿宋" w:hAnsi="仿宋" w:eastAsia="仿宋"/>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Pr>
          <w:rFonts w:hint="eastAsia" w:ascii="仿宋" w:hAnsi="仿宋" w:eastAsia="仿宋"/>
          <w:sz w:val="28"/>
          <w:szCs w:val="28"/>
        </w:rPr>
        <w:t>。</w:t>
      </w:r>
      <w:r>
        <w:rPr>
          <w:rFonts w:ascii="仿宋" w:hAnsi="仿宋" w:eastAsia="仿宋" w:cs="宋体"/>
          <w:sz w:val="24"/>
          <w:szCs w:val="24"/>
        </w:rPr>
        <w:t>即招标物服务周期结束前的所有费用且包含响应磋商文件采购要求的所有费用。</w:t>
      </w:r>
    </w:p>
    <w:p w14:paraId="06440788">
      <w:pPr>
        <w:pStyle w:val="14"/>
        <w:spacing w:line="360" w:lineRule="auto"/>
        <w:rPr>
          <w:rFonts w:ascii="仿宋" w:hAnsi="仿宋" w:eastAsia="仿宋"/>
          <w:sz w:val="24"/>
          <w:szCs w:val="24"/>
        </w:rPr>
      </w:pPr>
    </w:p>
    <w:p w14:paraId="76D3C964">
      <w:pPr>
        <w:pStyle w:val="14"/>
        <w:spacing w:line="360" w:lineRule="auto"/>
        <w:rPr>
          <w:rFonts w:ascii="仿宋" w:hAnsi="仿宋" w:eastAsia="仿宋"/>
          <w:sz w:val="24"/>
          <w:szCs w:val="24"/>
        </w:rPr>
      </w:pPr>
      <w:r>
        <w:rPr>
          <w:rFonts w:ascii="仿宋" w:hAnsi="仿宋" w:eastAsia="仿宋"/>
          <w:sz w:val="24"/>
          <w:szCs w:val="24"/>
        </w:rPr>
        <w:t xml:space="preserve">法定代表人或者授权代表（签字或盖章）：                    </w:t>
      </w:r>
    </w:p>
    <w:p w14:paraId="2FFF7C33">
      <w:pPr>
        <w:pStyle w:val="14"/>
        <w:spacing w:line="360" w:lineRule="auto"/>
        <w:rPr>
          <w:rFonts w:ascii="仿宋" w:hAnsi="仿宋" w:eastAsia="仿宋"/>
          <w:sz w:val="24"/>
          <w:szCs w:val="24"/>
        </w:rPr>
      </w:pPr>
      <w:r>
        <w:rPr>
          <w:rFonts w:ascii="仿宋" w:hAnsi="仿宋" w:eastAsia="仿宋"/>
          <w:sz w:val="24"/>
          <w:szCs w:val="24"/>
        </w:rPr>
        <w:t>磋商供应商全称（盖章）：</w:t>
      </w:r>
    </w:p>
    <w:p w14:paraId="674136BF">
      <w:pPr>
        <w:pStyle w:val="15"/>
      </w:pPr>
    </w:p>
    <w:p w14:paraId="294B7846">
      <w:pPr>
        <w:pStyle w:val="14"/>
        <w:spacing w:line="360" w:lineRule="auto"/>
        <w:rPr>
          <w:rFonts w:ascii="仿宋" w:hAnsi="仿宋" w:eastAsia="仿宋" w:cs="宋体"/>
          <w:sz w:val="24"/>
          <w:szCs w:val="24"/>
        </w:rPr>
      </w:pPr>
      <w:r>
        <w:rPr>
          <w:rFonts w:ascii="仿宋" w:hAnsi="仿宋" w:eastAsia="仿宋"/>
          <w:sz w:val="24"/>
          <w:szCs w:val="24"/>
        </w:rPr>
        <w:t xml:space="preserve">                                               日期：   年   月    日</w:t>
      </w:r>
    </w:p>
    <w:p w14:paraId="48B3ABB5">
      <w:pPr>
        <w:pStyle w:val="14"/>
        <w:jc w:val="center"/>
        <w:rPr>
          <w:rFonts w:ascii="仿宋" w:hAnsi="仿宋" w:eastAsia="仿宋"/>
          <w:b/>
          <w:bCs/>
          <w:sz w:val="28"/>
          <w:szCs w:val="28"/>
        </w:rPr>
      </w:pPr>
    </w:p>
    <w:p w14:paraId="41789537">
      <w:pPr>
        <w:pStyle w:val="14"/>
        <w:jc w:val="center"/>
        <w:rPr>
          <w:rFonts w:ascii="仿宋" w:hAnsi="仿宋" w:eastAsia="仿宋"/>
          <w:b/>
          <w:bCs/>
          <w:sz w:val="28"/>
          <w:szCs w:val="28"/>
        </w:rPr>
      </w:pPr>
      <w:r>
        <w:rPr>
          <w:rFonts w:hint="eastAsia" w:ascii="仿宋" w:hAnsi="仿宋" w:eastAsia="仿宋"/>
          <w:b/>
          <w:bCs/>
          <w:sz w:val="28"/>
          <w:szCs w:val="28"/>
        </w:rPr>
        <w:t>二、</w:t>
      </w:r>
      <w:r>
        <w:rPr>
          <w:rFonts w:ascii="仿宋" w:hAnsi="仿宋" w:eastAsia="仿宋"/>
          <w:b/>
          <w:bCs/>
          <w:sz w:val="28"/>
          <w:szCs w:val="28"/>
        </w:rPr>
        <w:t>供应商响应文件报价</w:t>
      </w:r>
      <w:r>
        <w:rPr>
          <w:rFonts w:hint="eastAsia" w:ascii="仿宋" w:hAnsi="仿宋" w:eastAsia="仿宋"/>
          <w:b/>
          <w:bCs/>
          <w:sz w:val="28"/>
          <w:szCs w:val="28"/>
        </w:rPr>
        <w:t>总</w:t>
      </w:r>
      <w:r>
        <w:rPr>
          <w:rFonts w:ascii="仿宋" w:hAnsi="仿宋" w:eastAsia="仿宋"/>
          <w:b/>
          <w:bCs/>
          <w:sz w:val="28"/>
          <w:szCs w:val="28"/>
        </w:rPr>
        <w:t>表（最终）</w:t>
      </w:r>
    </w:p>
    <w:tbl>
      <w:tblPr>
        <w:tblStyle w:val="12"/>
        <w:tblpPr w:leftFromText="180" w:rightFromText="180" w:vertAnchor="text" w:horzAnchor="margin" w:tblpXSpec="center" w:tblpY="225"/>
        <w:tblW w:w="89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7122"/>
      </w:tblGrid>
      <w:tr w14:paraId="7615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2" w:hRule="atLeast"/>
        </w:trPr>
        <w:tc>
          <w:tcPr>
            <w:tcW w:w="1809" w:type="dxa"/>
            <w:vAlign w:val="center"/>
          </w:tcPr>
          <w:p w14:paraId="1FCB4BD0">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项目名称    项目编号</w:t>
            </w:r>
          </w:p>
        </w:tc>
        <w:tc>
          <w:tcPr>
            <w:tcW w:w="7122" w:type="dxa"/>
            <w:vAlign w:val="center"/>
          </w:tcPr>
          <w:p w14:paraId="1D7999A9">
            <w:pPr>
              <w:adjustRightInd w:val="0"/>
              <w:snapToGrid w:val="0"/>
              <w:spacing w:line="360" w:lineRule="auto"/>
              <w:rPr>
                <w:rFonts w:ascii="仿宋" w:hAnsi="仿宋" w:eastAsia="仿宋" w:cs="宋体"/>
                <w:sz w:val="23"/>
                <w:szCs w:val="23"/>
              </w:rPr>
            </w:pPr>
          </w:p>
        </w:tc>
      </w:tr>
      <w:tr w14:paraId="683B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2" w:hRule="atLeast"/>
        </w:trPr>
        <w:tc>
          <w:tcPr>
            <w:tcW w:w="1809" w:type="dxa"/>
            <w:vAlign w:val="center"/>
          </w:tcPr>
          <w:p w14:paraId="304BDAA1">
            <w:pPr>
              <w:adjustRightInd w:val="0"/>
              <w:snapToGrid w:val="0"/>
              <w:spacing w:line="360" w:lineRule="auto"/>
              <w:jc w:val="center"/>
              <w:rPr>
                <w:rFonts w:ascii="仿宋" w:hAnsi="仿宋" w:eastAsia="仿宋" w:cs="宋体"/>
                <w:sz w:val="23"/>
                <w:szCs w:val="23"/>
              </w:rPr>
            </w:pPr>
            <w:r>
              <w:rPr>
                <w:rFonts w:hint="eastAsia" w:ascii="仿宋" w:hAnsi="仿宋" w:eastAsia="仿宋" w:cs="宋体"/>
                <w:b/>
                <w:bCs/>
                <w:sz w:val="24"/>
                <w:szCs w:val="24"/>
              </w:rPr>
              <w:t>最高限价            （元/人次/年）</w:t>
            </w:r>
          </w:p>
        </w:tc>
        <w:tc>
          <w:tcPr>
            <w:tcW w:w="7122" w:type="dxa"/>
            <w:vAlign w:val="center"/>
          </w:tcPr>
          <w:p w14:paraId="13137A5A">
            <w:pPr>
              <w:adjustRightInd w:val="0"/>
              <w:snapToGrid w:val="0"/>
              <w:spacing w:line="360" w:lineRule="auto"/>
              <w:ind w:firstLine="482" w:firstLineChars="200"/>
              <w:rPr>
                <w:rFonts w:ascii="仿宋" w:hAnsi="仿宋" w:eastAsia="仿宋" w:cs="宋体"/>
                <w:sz w:val="23"/>
                <w:szCs w:val="23"/>
              </w:rPr>
            </w:pPr>
            <w:r>
              <w:rPr>
                <w:rFonts w:hint="eastAsia" w:ascii="仿宋" w:hAnsi="仿宋" w:eastAsia="仿宋" w:cs="宋体"/>
                <w:b/>
                <w:bCs/>
                <w:sz w:val="24"/>
                <w:szCs w:val="24"/>
              </w:rPr>
              <w:t>660元/人次/年</w:t>
            </w:r>
          </w:p>
        </w:tc>
      </w:tr>
      <w:tr w14:paraId="743F7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6" w:hRule="atLeast"/>
        </w:trPr>
        <w:tc>
          <w:tcPr>
            <w:tcW w:w="1809" w:type="dxa"/>
            <w:vAlign w:val="center"/>
          </w:tcPr>
          <w:p w14:paraId="4D76D676">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投标报价（综合单价）</w:t>
            </w:r>
          </w:p>
          <w:p w14:paraId="1F36A118">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（元/人次/年）</w:t>
            </w:r>
          </w:p>
        </w:tc>
        <w:tc>
          <w:tcPr>
            <w:tcW w:w="7122" w:type="dxa"/>
            <w:vAlign w:val="center"/>
          </w:tcPr>
          <w:p w14:paraId="0359783B">
            <w:pPr>
              <w:adjustRightInd w:val="0"/>
              <w:snapToGrid w:val="0"/>
              <w:spacing w:line="360" w:lineRule="auto"/>
              <w:rPr>
                <w:rFonts w:ascii="仿宋" w:hAnsi="仿宋" w:eastAsia="仿宋" w:cs="宋体"/>
                <w:sz w:val="23"/>
                <w:szCs w:val="23"/>
              </w:rPr>
            </w:pPr>
            <w:r>
              <w:rPr>
                <w:rFonts w:hint="eastAsia" w:ascii="仿宋" w:hAnsi="仿宋" w:eastAsia="仿宋" w:cs="宋体"/>
                <w:sz w:val="23"/>
                <w:szCs w:val="23"/>
              </w:rPr>
              <w:t xml:space="preserve">小写：                     大写：                    </w:t>
            </w:r>
          </w:p>
        </w:tc>
      </w:tr>
      <w:tr w14:paraId="718DE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1809" w:type="dxa"/>
            <w:vAlign w:val="center"/>
          </w:tcPr>
          <w:p w14:paraId="08B4F8B9">
            <w:pPr>
              <w:adjustRightInd w:val="0"/>
              <w:snapToGrid w:val="0"/>
              <w:spacing w:line="360" w:lineRule="auto"/>
              <w:jc w:val="center"/>
              <w:rPr>
                <w:rFonts w:ascii="仿宋" w:hAnsi="仿宋" w:eastAsia="仿宋" w:cs="宋体"/>
                <w:sz w:val="23"/>
                <w:szCs w:val="23"/>
              </w:rPr>
            </w:pPr>
            <w:r>
              <w:rPr>
                <w:rFonts w:hint="eastAsia" w:ascii="仿宋" w:hAnsi="仿宋" w:eastAsia="仿宋" w:cs="宋体"/>
                <w:sz w:val="23"/>
                <w:szCs w:val="23"/>
              </w:rPr>
              <w:t>承诺</w:t>
            </w:r>
          </w:p>
        </w:tc>
        <w:tc>
          <w:tcPr>
            <w:tcW w:w="7122" w:type="dxa"/>
            <w:vAlign w:val="center"/>
          </w:tcPr>
          <w:p w14:paraId="7550426A">
            <w:pPr>
              <w:autoSpaceDE w:val="0"/>
              <w:autoSpaceDN w:val="0"/>
              <w:adjustRightInd w:val="0"/>
              <w:jc w:val="left"/>
              <w:rPr>
                <w:rFonts w:ascii="仿宋" w:hAnsi="仿宋" w:eastAsia="仿宋" w:cs="宋体"/>
                <w:sz w:val="24"/>
              </w:rPr>
            </w:pPr>
            <w:r>
              <w:rPr>
                <w:rFonts w:hint="eastAsia" w:ascii="仿宋" w:hAnsi="仿宋" w:eastAsia="仿宋" w:cs="宋体"/>
                <w:sz w:val="23"/>
                <w:szCs w:val="23"/>
              </w:rPr>
              <w:t>本报价包括自项目委托起至完成磋商文件规定的全部工作内容的费用，中标后不再收取其它任何费用。并承诺每年的</w:t>
            </w:r>
            <w:r>
              <w:rPr>
                <w:rFonts w:hint="eastAsia" w:ascii="仿宋" w:hAnsi="仿宋" w:eastAsia="仿宋" w:cs="宋体"/>
                <w:sz w:val="24"/>
              </w:rPr>
              <w:t>最终结算总价格为：中标金额/人次*实际数量，实际数量是以采购人核实并确认的数量为准。</w:t>
            </w:r>
          </w:p>
        </w:tc>
      </w:tr>
    </w:tbl>
    <w:p w14:paraId="0B81D2D3">
      <w:pPr>
        <w:pStyle w:val="15"/>
      </w:pPr>
    </w:p>
    <w:p w14:paraId="1C564DDF">
      <w:pPr>
        <w:pStyle w:val="14"/>
        <w:spacing w:line="360" w:lineRule="auto"/>
        <w:rPr>
          <w:rFonts w:ascii="仿宋" w:hAnsi="仿宋" w:eastAsia="仿宋"/>
          <w:sz w:val="24"/>
          <w:szCs w:val="24"/>
        </w:rPr>
      </w:pPr>
      <w:r>
        <w:rPr>
          <w:rFonts w:ascii="仿宋" w:hAnsi="仿宋" w:eastAsia="仿宋"/>
          <w:sz w:val="24"/>
          <w:szCs w:val="24"/>
        </w:rPr>
        <w:t xml:space="preserve">法定代表人或者授权代表（签字或盖章）：                    </w:t>
      </w:r>
    </w:p>
    <w:p w14:paraId="66386185">
      <w:pPr>
        <w:pStyle w:val="14"/>
        <w:spacing w:line="360" w:lineRule="auto"/>
      </w:pPr>
      <w:r>
        <w:rPr>
          <w:rFonts w:ascii="仿宋" w:hAnsi="仿宋" w:eastAsia="仿宋"/>
          <w:sz w:val="24"/>
          <w:szCs w:val="24"/>
        </w:rPr>
        <w:t>磋商供应商全称（盖章）：</w:t>
      </w:r>
    </w:p>
    <w:p w14:paraId="41C3E4FE">
      <w:pPr>
        <w:pStyle w:val="14"/>
        <w:spacing w:line="360" w:lineRule="auto"/>
        <w:rPr>
          <w:rFonts w:ascii="仿宋" w:hAnsi="仿宋" w:eastAsia="仿宋"/>
          <w:sz w:val="24"/>
          <w:szCs w:val="24"/>
        </w:rPr>
      </w:pPr>
      <w:r>
        <w:rPr>
          <w:rFonts w:ascii="仿宋" w:hAnsi="仿宋" w:eastAsia="仿宋"/>
          <w:sz w:val="24"/>
          <w:szCs w:val="24"/>
        </w:rPr>
        <w:t xml:space="preserve">                                               日期：   年   月    日</w:t>
      </w:r>
    </w:p>
    <w:p w14:paraId="1AE86BC7">
      <w:pPr>
        <w:spacing w:line="480" w:lineRule="exact"/>
        <w:ind w:firstLine="480" w:firstLineChars="200"/>
        <w:rPr>
          <w:rFonts w:ascii="仿宋" w:hAnsi="仿宋" w:eastAsia="仿宋" w:cs="宋体"/>
          <w:kern w:val="2"/>
          <w:sz w:val="24"/>
          <w:szCs w:val="24"/>
          <w:lang w:bidi="ar-SA"/>
        </w:rPr>
      </w:pPr>
      <w:r>
        <w:rPr>
          <w:rFonts w:hint="eastAsia" w:ascii="仿宋" w:hAnsi="仿宋" w:eastAsia="仿宋" w:cs="宋体"/>
          <w:kern w:val="2"/>
          <w:sz w:val="24"/>
          <w:szCs w:val="24"/>
          <w:lang w:bidi="ar-SA"/>
        </w:rPr>
        <w:t>注：</w:t>
      </w:r>
    </w:p>
    <w:p w14:paraId="615EF51C">
      <w:pPr>
        <w:spacing w:line="480" w:lineRule="exact"/>
        <w:ind w:firstLine="480" w:firstLineChars="200"/>
        <w:rPr>
          <w:rFonts w:ascii="仿宋" w:hAnsi="仿宋" w:eastAsia="仿宋" w:cs="宋体"/>
          <w:kern w:val="2"/>
          <w:sz w:val="24"/>
          <w:szCs w:val="24"/>
          <w:lang w:bidi="ar-SA"/>
        </w:rPr>
      </w:pPr>
      <w:r>
        <w:rPr>
          <w:rFonts w:hint="eastAsia" w:ascii="仿宋" w:hAnsi="仿宋" w:eastAsia="仿宋" w:cs="宋体"/>
          <w:kern w:val="2"/>
          <w:sz w:val="24"/>
          <w:szCs w:val="24"/>
          <w:lang w:bidi="ar-SA"/>
        </w:rPr>
        <w:t>1、本表式，不得自行改动。</w:t>
      </w:r>
    </w:p>
    <w:p w14:paraId="4E64135A">
      <w:pPr>
        <w:spacing w:line="480" w:lineRule="exact"/>
        <w:ind w:firstLine="480" w:firstLineChars="200"/>
        <w:rPr>
          <w:rFonts w:ascii="仿宋" w:hAnsi="仿宋" w:eastAsia="仿宋" w:cs="宋体"/>
          <w:kern w:val="2"/>
          <w:sz w:val="24"/>
          <w:szCs w:val="24"/>
          <w:lang w:bidi="ar-SA"/>
        </w:rPr>
      </w:pPr>
      <w:r>
        <w:rPr>
          <w:rFonts w:hint="eastAsia" w:ascii="仿宋" w:hAnsi="仿宋" w:eastAsia="仿宋" w:cs="宋体"/>
          <w:kern w:val="2"/>
          <w:sz w:val="24"/>
          <w:szCs w:val="24"/>
          <w:lang w:bidi="ar-SA"/>
        </w:rPr>
        <w:t>2、最终报价总表将在磋商现场填写，竞争性磋商响应文件密封提交时只需填写磋商响应报价表（最终报价表请各响应商提前盖好公章带至磋商现场填写）。</w:t>
      </w:r>
    </w:p>
    <w:p w14:paraId="5A656D5B">
      <w:pPr>
        <w:spacing w:line="480" w:lineRule="exact"/>
        <w:ind w:firstLine="480" w:firstLineChars="200"/>
        <w:rPr>
          <w:rFonts w:ascii="仿宋" w:hAnsi="仿宋" w:eastAsia="仿宋" w:cs="宋体"/>
          <w:kern w:val="2"/>
          <w:sz w:val="28"/>
          <w:szCs w:val="28"/>
          <w:lang w:bidi="ar-SA"/>
        </w:rPr>
      </w:pPr>
      <w:r>
        <w:rPr>
          <w:rFonts w:hint="eastAsia" w:ascii="仿宋" w:hAnsi="仿宋" w:eastAsia="仿宋" w:cs="宋体"/>
          <w:kern w:val="2"/>
          <w:sz w:val="24"/>
          <w:szCs w:val="24"/>
          <w:lang w:bidi="ar-SA"/>
        </w:rPr>
        <w:t>3、投标总报价（以人民币计价）应</w:t>
      </w:r>
      <w:r>
        <w:rPr>
          <w:rFonts w:ascii="仿宋" w:hAnsi="仿宋" w:eastAsia="仿宋" w:cs="宋体"/>
          <w:sz w:val="23"/>
          <w:szCs w:val="23"/>
        </w:rPr>
        <w:t>包括但不限于</w:t>
      </w:r>
      <w:r>
        <w:rPr>
          <w:rFonts w:hint="eastAsia" w:ascii="仿宋" w:hAnsi="仿宋" w:eastAsia="仿宋"/>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Pr>
          <w:rFonts w:ascii="仿宋" w:hAnsi="仿宋" w:eastAsia="仿宋" w:cs="宋体"/>
          <w:sz w:val="24"/>
          <w:szCs w:val="24"/>
        </w:rPr>
        <w:t>即招标物服务周期结束前的所有费用且包含响应磋商文件采购要求的所有费用。</w:t>
      </w:r>
    </w:p>
    <w:p w14:paraId="2EB53351">
      <w:pPr>
        <w:spacing w:line="480" w:lineRule="exact"/>
        <w:ind w:firstLine="480" w:firstLineChars="200"/>
        <w:rPr>
          <w:rFonts w:ascii="仿宋" w:hAnsi="仿宋" w:eastAsia="仿宋" w:cs="宋体"/>
          <w:kern w:val="2"/>
          <w:sz w:val="24"/>
          <w:szCs w:val="24"/>
          <w:lang w:bidi="ar-SA"/>
        </w:rPr>
      </w:pPr>
      <w:r>
        <w:rPr>
          <w:rFonts w:hint="eastAsia" w:ascii="仿宋" w:hAnsi="仿宋" w:eastAsia="仿宋" w:cs="宋体"/>
          <w:kern w:val="2"/>
          <w:sz w:val="24"/>
          <w:szCs w:val="24"/>
          <w:lang w:bidi="ar-SA"/>
        </w:rPr>
        <w:t>4、最后一次报价不得高于前一次报价。</w:t>
      </w:r>
    </w:p>
    <w:p w14:paraId="43795302">
      <w:pPr>
        <w:pStyle w:val="2"/>
        <w:ind w:left="400"/>
      </w:pPr>
      <w:r>
        <w:br w:type="page"/>
      </w:r>
    </w:p>
    <w:p w14:paraId="0BE1EF85">
      <w:pPr>
        <w:kinsoku w:val="0"/>
        <w:overflowPunct w:val="0"/>
        <w:autoSpaceDE w:val="0"/>
        <w:autoSpaceDN w:val="0"/>
        <w:adjustRightInd w:val="0"/>
        <w:snapToGrid w:val="0"/>
        <w:spacing w:line="360" w:lineRule="auto"/>
        <w:rPr>
          <w:rFonts w:ascii="仿宋" w:hAnsi="仿宋" w:eastAsia="仿宋" w:cs="黑体"/>
          <w:sz w:val="24"/>
          <w:szCs w:val="28"/>
          <w:lang w:bidi="ar-SA"/>
        </w:rPr>
      </w:pPr>
      <w:r>
        <w:rPr>
          <w:rFonts w:hint="eastAsia" w:ascii="仿宋" w:hAnsi="仿宋" w:eastAsia="仿宋" w:cs="黑体"/>
          <w:sz w:val="24"/>
          <w:szCs w:val="28"/>
          <w:lang w:bidi="ar-SA"/>
        </w:rPr>
        <w:t>附件：</w:t>
      </w:r>
    </w:p>
    <w:p w14:paraId="64E0CFEB">
      <w:pPr>
        <w:snapToGrid w:val="0"/>
        <w:spacing w:beforeLines="150" w:afterLines="100" w:line="420" w:lineRule="exact"/>
        <w:ind w:firstLine="643" w:firstLineChars="200"/>
        <w:jc w:val="center"/>
        <w:outlineLvl w:val="4"/>
        <w:rPr>
          <w:rFonts w:ascii="仿宋" w:hAnsi="仿宋" w:eastAsia="仿宋"/>
          <w:b/>
          <w:bCs/>
          <w:kern w:val="2"/>
          <w:sz w:val="32"/>
          <w:szCs w:val="32"/>
          <w:lang w:bidi="ar-SA"/>
        </w:rPr>
      </w:pPr>
      <w:r>
        <w:rPr>
          <w:rFonts w:hint="eastAsia" w:ascii="仿宋" w:hAnsi="仿宋" w:eastAsia="仿宋"/>
          <w:b/>
          <w:bCs/>
          <w:kern w:val="2"/>
          <w:sz w:val="32"/>
          <w:szCs w:val="32"/>
          <w:lang w:bidi="ar-SA"/>
        </w:rPr>
        <w:t>供应商参加磋商确认函</w:t>
      </w:r>
    </w:p>
    <w:p w14:paraId="4F12B502">
      <w:pPr>
        <w:spacing w:line="360" w:lineRule="auto"/>
        <w:ind w:right="-71"/>
        <w:jc w:val="left"/>
        <w:rPr>
          <w:rFonts w:ascii="仿宋" w:hAnsi="仿宋" w:eastAsia="仿宋" w:cs="宋体"/>
          <w:kern w:val="2"/>
          <w:sz w:val="24"/>
          <w:szCs w:val="24"/>
          <w:u w:val="single"/>
          <w:lang w:bidi="ar-SA"/>
        </w:rPr>
      </w:pPr>
      <w:r>
        <w:rPr>
          <w:rFonts w:hint="eastAsia" w:ascii="仿宋" w:hAnsi="仿宋" w:eastAsia="仿宋" w:cs="宋体"/>
          <w:kern w:val="2"/>
          <w:sz w:val="24"/>
          <w:szCs w:val="24"/>
          <w:u w:val="single"/>
          <w:lang w:bidi="ar-SA"/>
        </w:rPr>
        <w:t>江苏全通工程技术有限公司</w:t>
      </w:r>
      <w:r>
        <w:rPr>
          <w:rFonts w:ascii="仿宋" w:hAnsi="仿宋" w:eastAsia="仿宋" w:cs="宋体"/>
          <w:kern w:val="2"/>
          <w:sz w:val="24"/>
          <w:szCs w:val="24"/>
          <w:u w:val="single"/>
          <w:lang w:bidi="ar-SA"/>
        </w:rPr>
        <w:t>：</w:t>
      </w:r>
    </w:p>
    <w:p w14:paraId="7F57659B">
      <w:pPr>
        <w:spacing w:line="360" w:lineRule="auto"/>
        <w:ind w:left="120" w:right="-71" w:firstLine="480" w:firstLineChars="200"/>
        <w:jc w:val="left"/>
        <w:rPr>
          <w:rFonts w:ascii="仿宋" w:hAnsi="仿宋" w:eastAsia="仿宋" w:cs="宋体"/>
          <w:kern w:val="2"/>
          <w:sz w:val="24"/>
          <w:szCs w:val="24"/>
          <w:lang w:bidi="ar-SA"/>
        </w:rPr>
      </w:pPr>
    </w:p>
    <w:p w14:paraId="7645E329">
      <w:pPr>
        <w:spacing w:line="360" w:lineRule="auto"/>
        <w:ind w:left="119" w:right="-23" w:firstLine="738" w:firstLineChars="300"/>
        <w:jc w:val="left"/>
        <w:rPr>
          <w:rFonts w:ascii="仿宋" w:hAnsi="仿宋" w:eastAsia="仿宋" w:cs="宋体"/>
          <w:spacing w:val="3"/>
          <w:kern w:val="2"/>
          <w:position w:val="-1"/>
          <w:sz w:val="24"/>
          <w:szCs w:val="24"/>
          <w:lang w:bidi="ar-SA"/>
        </w:rPr>
      </w:pPr>
      <w:r>
        <w:rPr>
          <w:rFonts w:hint="eastAsia" w:ascii="仿宋" w:hAnsi="仿宋" w:eastAsia="仿宋" w:cs="宋体"/>
          <w:spacing w:val="3"/>
          <w:kern w:val="2"/>
          <w:position w:val="-1"/>
          <w:sz w:val="24"/>
          <w:szCs w:val="24"/>
          <w:lang w:bidi="ar-SA"/>
        </w:rPr>
        <w:t>本单位将参加贵单位于年</w:t>
      </w:r>
      <w:r>
        <w:rPr>
          <w:rFonts w:hint="eastAsia" w:ascii="仿宋" w:hAnsi="仿宋" w:eastAsia="仿宋" w:cs="宋体"/>
          <w:spacing w:val="3"/>
          <w:kern w:val="2"/>
          <w:position w:val="-1"/>
          <w:sz w:val="24"/>
          <w:szCs w:val="24"/>
          <w:u w:val="single"/>
          <w:lang w:bidi="ar-SA"/>
        </w:rPr>
        <w:tab/>
      </w:r>
      <w:r>
        <w:rPr>
          <w:rFonts w:hint="eastAsia" w:ascii="仿宋" w:hAnsi="仿宋" w:eastAsia="仿宋" w:cs="宋体"/>
          <w:spacing w:val="3"/>
          <w:kern w:val="2"/>
          <w:position w:val="-1"/>
          <w:sz w:val="24"/>
          <w:szCs w:val="24"/>
          <w:lang w:bidi="ar-SA"/>
        </w:rPr>
        <w:t>月</w:t>
      </w:r>
      <w:r>
        <w:rPr>
          <w:rFonts w:hint="eastAsia" w:ascii="仿宋" w:hAnsi="仿宋" w:eastAsia="仿宋" w:cs="宋体"/>
          <w:spacing w:val="3"/>
          <w:kern w:val="2"/>
          <w:position w:val="-1"/>
          <w:sz w:val="24"/>
          <w:szCs w:val="24"/>
          <w:u w:val="single"/>
          <w:lang w:bidi="ar-SA"/>
        </w:rPr>
        <w:tab/>
      </w:r>
      <w:r>
        <w:rPr>
          <w:rFonts w:hint="eastAsia" w:ascii="仿宋" w:hAnsi="仿宋" w:eastAsia="仿宋" w:cs="宋体"/>
          <w:spacing w:val="3"/>
          <w:kern w:val="2"/>
          <w:position w:val="-1"/>
          <w:sz w:val="24"/>
          <w:szCs w:val="24"/>
          <w:lang w:bidi="ar-SA"/>
        </w:rPr>
        <w:t>日的</w:t>
      </w:r>
      <w:r>
        <w:rPr>
          <w:rFonts w:hint="eastAsia" w:ascii="仿宋" w:hAnsi="仿宋" w:eastAsia="仿宋" w:cs="宋体"/>
          <w:spacing w:val="3"/>
          <w:kern w:val="2"/>
          <w:position w:val="-1"/>
          <w:sz w:val="24"/>
          <w:szCs w:val="24"/>
          <w:u w:val="single"/>
          <w:lang w:bidi="ar-SA"/>
        </w:rPr>
        <w:tab/>
      </w:r>
      <w:r>
        <w:rPr>
          <w:rFonts w:hint="eastAsia" w:ascii="仿宋" w:hAnsi="仿宋" w:eastAsia="仿宋" w:cs="宋体"/>
          <w:spacing w:val="3"/>
          <w:kern w:val="2"/>
          <w:position w:val="-1"/>
          <w:sz w:val="24"/>
          <w:szCs w:val="24"/>
          <w:u w:val="single"/>
          <w:lang w:bidi="ar-SA"/>
        </w:rPr>
        <w:t xml:space="preserve">    </w:t>
      </w:r>
      <w:r>
        <w:rPr>
          <w:rFonts w:hint="eastAsia" w:ascii="仿宋" w:hAnsi="仿宋" w:eastAsia="仿宋" w:cs="宋体"/>
          <w:spacing w:val="3"/>
          <w:kern w:val="2"/>
          <w:position w:val="-1"/>
          <w:sz w:val="24"/>
          <w:szCs w:val="24"/>
          <w:lang w:bidi="ar-SA"/>
        </w:rPr>
        <w:t>采购项目的磋商活动。本单位已在</w:t>
      </w:r>
      <w:r>
        <w:rPr>
          <w:rFonts w:hint="eastAsia" w:ascii="仿宋" w:hAnsi="仿宋" w:eastAsia="仿宋" w:cs="黑体"/>
          <w:kern w:val="2"/>
          <w:sz w:val="24"/>
          <w:szCs w:val="24"/>
          <w:lang w:bidi="ar-SA"/>
        </w:rPr>
        <w:t>“南通市退役军人事务局（</w:t>
      </w:r>
      <w:r>
        <w:fldChar w:fldCharType="begin"/>
      </w:r>
      <w:r>
        <w:instrText xml:space="preserve"> HYPERLINK "http://tyjrswj.nantong.gov.cn/" </w:instrText>
      </w:r>
      <w:r>
        <w:fldChar w:fldCharType="separate"/>
      </w:r>
      <w:r>
        <w:rPr>
          <w:rFonts w:ascii="仿宋" w:hAnsi="仿宋" w:eastAsia="仿宋" w:cs="黑体"/>
          <w:kern w:val="2"/>
          <w:sz w:val="24"/>
          <w:szCs w:val="24"/>
          <w:u w:val="single"/>
          <w:lang w:bidi="ar-SA"/>
        </w:rPr>
        <w:t>http://tyjrswj.nantong.gov.cn/</w:t>
      </w:r>
      <w:r>
        <w:rPr>
          <w:rFonts w:ascii="仿宋" w:hAnsi="仿宋" w:eastAsia="仿宋" w:cs="黑体"/>
          <w:kern w:val="2"/>
          <w:sz w:val="24"/>
          <w:szCs w:val="24"/>
          <w:u w:val="single"/>
          <w:lang w:bidi="ar-SA"/>
        </w:rPr>
        <w:fldChar w:fldCharType="end"/>
      </w:r>
      <w:r>
        <w:rPr>
          <w:rFonts w:hint="eastAsia" w:ascii="仿宋" w:hAnsi="仿宋" w:eastAsia="仿宋" w:cs="黑体"/>
          <w:kern w:val="2"/>
          <w:sz w:val="24"/>
          <w:szCs w:val="24"/>
          <w:lang w:bidi="ar-SA"/>
        </w:rPr>
        <w:t>）”官网</w:t>
      </w:r>
      <w:r>
        <w:rPr>
          <w:rFonts w:hint="eastAsia" w:ascii="仿宋" w:hAnsi="仿宋" w:eastAsia="仿宋" w:cs="宋体"/>
          <w:spacing w:val="3"/>
          <w:kern w:val="2"/>
          <w:position w:val="-1"/>
          <w:sz w:val="24"/>
          <w:szCs w:val="24"/>
          <w:lang w:bidi="ar-SA"/>
        </w:rPr>
        <w:t>成功下载采购文件，特发函确认。</w:t>
      </w:r>
    </w:p>
    <w:p w14:paraId="6F4D115C">
      <w:pPr>
        <w:tabs>
          <w:tab w:val="left" w:pos="4200"/>
          <w:tab w:val="left" w:pos="5160"/>
        </w:tabs>
        <w:spacing w:before="81" w:line="241" w:lineRule="auto"/>
        <w:ind w:left="3480" w:right="3207" w:firstLine="560" w:firstLineChars="200"/>
        <w:jc w:val="left"/>
        <w:rPr>
          <w:rFonts w:ascii="仿宋" w:hAnsi="仿宋" w:eastAsia="仿宋" w:cs="宋体"/>
          <w:kern w:val="2"/>
          <w:sz w:val="28"/>
          <w:szCs w:val="24"/>
          <w:lang w:bidi="ar-SA"/>
        </w:rPr>
      </w:pPr>
      <w:r>
        <w:rPr>
          <w:rFonts w:ascii="仿宋" w:hAnsi="仿宋" w:eastAsia="仿宋"/>
          <w:kern w:val="2"/>
          <w:sz w:val="28"/>
          <w:szCs w:val="24"/>
          <w:lang w:bidi="ar-SA"/>
        </w:rPr>
        <w:pict>
          <v:group id="组合 66" o:spid="_x0000_s1028" o:spt="203" style="position:absolute;left:0pt;margin-left:90pt;margin-top:39pt;height:0.1pt;width:415.3pt;mso-position-horizontal-relative:page;z-index:-251657216;mso-width-relative:page;mso-height-relative:page;" coordsize="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">
            <o:lock v:ext="edit"/>
            <v:shape id="任意多边形 67" o:spid="_x0000_s1029" style="position:absolute;left:18;top:7;height:0;width:83;" filled="f" coordsize="8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" path="m0,0l8306,0e">
              <v:path o:connecttype="custom" o:connectlocs="0,0;8306,0" o:connectangles="0,0"/>
              <v:fill on="f" focussize="0,0"/>
              <v:stroke weight="0.82pt"/>
              <v:imagedata o:title=""/>
              <o:lock v:ext="edit"/>
            </v:shape>
          </v:group>
        </w:pict>
      </w:r>
      <w:r>
        <w:rPr>
          <w:rFonts w:ascii="仿宋" w:hAnsi="仿宋" w:eastAsia="仿宋" w:cs="宋体"/>
          <w:kern w:val="2"/>
          <w:sz w:val="28"/>
          <w:szCs w:val="24"/>
          <w:u w:val="single" w:color="000000"/>
          <w:lang w:bidi="ar-SA"/>
        </w:rPr>
        <w:tab/>
      </w:r>
      <w:r>
        <w:rPr>
          <w:rFonts w:ascii="仿宋" w:hAnsi="仿宋" w:eastAsia="仿宋" w:cs="宋体"/>
          <w:kern w:val="2"/>
          <w:sz w:val="28"/>
          <w:szCs w:val="24"/>
          <w:u w:val="single" w:color="000000"/>
          <w:lang w:bidi="ar-SA"/>
        </w:rPr>
        <w:tab/>
      </w:r>
      <w:r>
        <w:rPr>
          <w:rFonts w:ascii="仿宋" w:hAnsi="仿宋" w:eastAsia="仿宋" w:cs="宋体"/>
          <w:w w:val="99"/>
          <w:kern w:val="2"/>
          <w:sz w:val="28"/>
          <w:szCs w:val="24"/>
          <w:lang w:bidi="ar-SA"/>
        </w:rPr>
        <w:t>（</w:t>
      </w:r>
      <w:r>
        <w:rPr>
          <w:rFonts w:ascii="仿宋" w:hAnsi="仿宋" w:eastAsia="仿宋" w:cs="宋体"/>
          <w:spacing w:val="2"/>
          <w:w w:val="99"/>
          <w:kern w:val="2"/>
          <w:sz w:val="28"/>
          <w:szCs w:val="24"/>
          <w:lang w:bidi="ar-SA"/>
        </w:rPr>
        <w:t>单</w:t>
      </w:r>
      <w:r>
        <w:rPr>
          <w:rFonts w:ascii="仿宋" w:hAnsi="仿宋" w:eastAsia="仿宋" w:cs="宋体"/>
          <w:w w:val="99"/>
          <w:kern w:val="2"/>
          <w:sz w:val="28"/>
          <w:szCs w:val="24"/>
          <w:lang w:bidi="ar-SA"/>
        </w:rPr>
        <w:t>位</w:t>
      </w:r>
      <w:r>
        <w:rPr>
          <w:rFonts w:ascii="仿宋" w:hAnsi="仿宋" w:eastAsia="仿宋" w:cs="宋体"/>
          <w:spacing w:val="2"/>
          <w:w w:val="99"/>
          <w:kern w:val="2"/>
          <w:sz w:val="28"/>
          <w:szCs w:val="24"/>
          <w:lang w:bidi="ar-SA"/>
        </w:rPr>
        <w:t>公</w:t>
      </w:r>
      <w:r>
        <w:rPr>
          <w:rFonts w:ascii="仿宋" w:hAnsi="仿宋" w:eastAsia="仿宋" w:cs="宋体"/>
          <w:w w:val="99"/>
          <w:kern w:val="2"/>
          <w:sz w:val="28"/>
          <w:szCs w:val="24"/>
          <w:lang w:bidi="ar-SA"/>
        </w:rPr>
        <w:t>章）年</w:t>
      </w:r>
      <w:r>
        <w:rPr>
          <w:rFonts w:ascii="仿宋" w:hAnsi="仿宋" w:eastAsia="仿宋" w:cs="宋体"/>
          <w:kern w:val="2"/>
          <w:sz w:val="28"/>
          <w:szCs w:val="24"/>
          <w:lang w:bidi="ar-SA"/>
        </w:rPr>
        <w:tab/>
      </w:r>
      <w:r>
        <w:rPr>
          <w:rFonts w:ascii="仿宋" w:hAnsi="仿宋" w:eastAsia="仿宋" w:cs="宋体"/>
          <w:w w:val="99"/>
          <w:kern w:val="2"/>
          <w:sz w:val="28"/>
          <w:szCs w:val="24"/>
          <w:lang w:bidi="ar-SA"/>
        </w:rPr>
        <w:t>月</w:t>
      </w:r>
      <w:r>
        <w:rPr>
          <w:rFonts w:ascii="仿宋" w:hAnsi="仿宋" w:eastAsia="仿宋" w:cs="宋体"/>
          <w:kern w:val="2"/>
          <w:sz w:val="28"/>
          <w:szCs w:val="24"/>
          <w:lang w:bidi="ar-SA"/>
        </w:rPr>
        <w:tab/>
      </w:r>
      <w:r>
        <w:rPr>
          <w:rFonts w:ascii="仿宋" w:hAnsi="仿宋" w:eastAsia="仿宋" w:cs="宋体"/>
          <w:w w:val="99"/>
          <w:kern w:val="2"/>
          <w:sz w:val="28"/>
          <w:szCs w:val="24"/>
          <w:lang w:bidi="ar-SA"/>
        </w:rPr>
        <w:t>日</w:t>
      </w:r>
    </w:p>
    <w:p w14:paraId="4B1CB2F4">
      <w:pPr>
        <w:spacing w:before="240" w:line="360" w:lineRule="auto"/>
        <w:ind w:right="-20"/>
        <w:jc w:val="left"/>
        <w:rPr>
          <w:rFonts w:ascii="仿宋" w:hAnsi="仿宋" w:eastAsia="仿宋" w:cs="宋体"/>
          <w:kern w:val="2"/>
          <w:sz w:val="24"/>
          <w:szCs w:val="24"/>
          <w:lang w:bidi="ar-SA"/>
        </w:rPr>
      </w:pPr>
      <w:r>
        <w:rPr>
          <w:rFonts w:ascii="仿宋" w:hAnsi="仿宋" w:eastAsia="仿宋" w:cs="宋体"/>
          <w:kern w:val="2"/>
          <w:sz w:val="24"/>
          <w:szCs w:val="24"/>
          <w:lang w:bidi="ar-SA"/>
        </w:rPr>
        <w:t>附：</w:t>
      </w:r>
    </w:p>
    <w:p w14:paraId="1E66629F">
      <w:pPr>
        <w:spacing w:line="360" w:lineRule="auto"/>
        <w:jc w:val="center"/>
        <w:rPr>
          <w:rFonts w:ascii="仿宋" w:hAnsi="仿宋" w:eastAsia="仿宋" w:cs="宋体"/>
          <w:kern w:val="2"/>
          <w:sz w:val="28"/>
          <w:szCs w:val="24"/>
          <w:lang w:bidi="ar-SA"/>
        </w:rPr>
      </w:pPr>
      <w:r>
        <w:rPr>
          <w:rFonts w:hint="eastAsia" w:ascii="仿宋" w:hAnsi="仿宋" w:eastAsia="仿宋" w:cs="宋体"/>
          <w:spacing w:val="2"/>
          <w:w w:val="99"/>
          <w:kern w:val="2"/>
          <w:sz w:val="28"/>
          <w:szCs w:val="24"/>
          <w:lang w:bidi="ar-SA"/>
        </w:rPr>
        <w:t>供应商联系表</w:t>
      </w:r>
    </w:p>
    <w:p w14:paraId="560A77D1">
      <w:pPr>
        <w:spacing w:before="8" w:line="40" w:lineRule="exact"/>
        <w:ind w:firstLine="480" w:firstLineChars="200"/>
        <w:jc w:val="left"/>
        <w:rPr>
          <w:rFonts w:ascii="仿宋" w:hAnsi="仿宋" w:eastAsia="仿宋"/>
          <w:kern w:val="2"/>
          <w:sz w:val="24"/>
          <w:szCs w:val="24"/>
          <w:lang w:bidi="ar-SA"/>
        </w:rPr>
      </w:pPr>
    </w:p>
    <w:tbl>
      <w:tblPr>
        <w:tblStyle w:val="12"/>
        <w:tblW w:w="0" w:type="auto"/>
        <w:jc w:val="center"/>
        <w:tblLayout w:type="fixed"/>
        <w:tblCellMar>
          <w:top w:w="0" w:type="dxa"/>
          <w:left w:w="0" w:type="dxa"/>
          <w:bottom w:w="0" w:type="dxa"/>
          <w:right w:w="0" w:type="dxa"/>
        </w:tblCellMar>
      </w:tblPr>
      <w:tblGrid>
        <w:gridCol w:w="2267"/>
        <w:gridCol w:w="1873"/>
        <w:gridCol w:w="2550"/>
        <w:gridCol w:w="1812"/>
      </w:tblGrid>
      <w:tr w14:paraId="0B3D1DF2">
        <w:tblPrEx>
          <w:tblCellMar>
            <w:top w:w="0" w:type="dxa"/>
            <w:left w:w="0" w:type="dxa"/>
            <w:bottom w:w="0" w:type="dxa"/>
            <w:right w:w="0" w:type="dxa"/>
          </w:tblCellMar>
        </w:tblPrEx>
        <w:trPr>
          <w:trHeight w:val="553" w:hRule="exact"/>
          <w:jc w:val="center"/>
        </w:trPr>
        <w:tc>
          <w:tcPr>
            <w:tcW w:w="2267" w:type="dxa"/>
            <w:tcBorders>
              <w:top w:val="single" w:color="000000" w:sz="4" w:space="0"/>
              <w:left w:val="single" w:color="000000" w:sz="4" w:space="0"/>
              <w:bottom w:val="single" w:color="000000" w:sz="4" w:space="0"/>
              <w:right w:val="single" w:color="000000" w:sz="4" w:space="0"/>
            </w:tcBorders>
          </w:tcPr>
          <w:p w14:paraId="2520CEF8">
            <w:pPr>
              <w:spacing w:line="262"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单</w:t>
            </w:r>
            <w:r>
              <w:rPr>
                <w:rFonts w:ascii="仿宋" w:hAnsi="仿宋" w:eastAsia="仿宋" w:cs="宋体"/>
                <w:spacing w:val="2"/>
                <w:kern w:val="2"/>
                <w:position w:val="-1"/>
                <w:sz w:val="24"/>
                <w:szCs w:val="24"/>
                <w:lang w:bidi="ar-SA"/>
              </w:rPr>
              <w:t>位</w:t>
            </w:r>
            <w:r>
              <w:rPr>
                <w:rFonts w:ascii="仿宋" w:hAnsi="仿宋" w:eastAsia="仿宋" w:cs="宋体"/>
                <w:kern w:val="2"/>
                <w:position w:val="-1"/>
                <w:sz w:val="24"/>
                <w:szCs w:val="24"/>
                <w:lang w:bidi="ar-SA"/>
              </w:rPr>
              <w:t>名称</w:t>
            </w:r>
          </w:p>
        </w:tc>
        <w:tc>
          <w:tcPr>
            <w:tcW w:w="6235" w:type="dxa"/>
            <w:gridSpan w:val="3"/>
            <w:tcBorders>
              <w:top w:val="single" w:color="000000" w:sz="4" w:space="0"/>
              <w:left w:val="single" w:color="000000" w:sz="4" w:space="0"/>
              <w:bottom w:val="single" w:color="000000" w:sz="4" w:space="0"/>
              <w:right w:val="single" w:color="000000" w:sz="4" w:space="0"/>
            </w:tcBorders>
          </w:tcPr>
          <w:p w14:paraId="587A5D91">
            <w:pPr>
              <w:spacing w:line="360" w:lineRule="auto"/>
              <w:ind w:firstLine="480" w:firstLineChars="200"/>
              <w:rPr>
                <w:rFonts w:ascii="仿宋" w:hAnsi="仿宋" w:eastAsia="仿宋"/>
                <w:kern w:val="2"/>
                <w:sz w:val="24"/>
                <w:szCs w:val="24"/>
                <w:lang w:bidi="ar-SA"/>
              </w:rPr>
            </w:pPr>
          </w:p>
        </w:tc>
      </w:tr>
      <w:tr w14:paraId="5F885DF9">
        <w:tblPrEx>
          <w:tblCellMar>
            <w:top w:w="0" w:type="dxa"/>
            <w:left w:w="0" w:type="dxa"/>
            <w:bottom w:w="0" w:type="dxa"/>
            <w:right w:w="0" w:type="dxa"/>
          </w:tblCellMar>
        </w:tblPrEx>
        <w:trPr>
          <w:trHeight w:val="573" w:hRule="exact"/>
          <w:jc w:val="center"/>
        </w:trPr>
        <w:tc>
          <w:tcPr>
            <w:tcW w:w="2267" w:type="dxa"/>
            <w:tcBorders>
              <w:top w:val="single" w:color="000000" w:sz="4" w:space="0"/>
              <w:left w:val="single" w:color="000000" w:sz="4" w:space="0"/>
              <w:bottom w:val="single" w:color="000000" w:sz="4" w:space="0"/>
              <w:right w:val="single" w:color="000000" w:sz="4" w:space="0"/>
            </w:tcBorders>
          </w:tcPr>
          <w:p w14:paraId="44E68B6D">
            <w:pPr>
              <w:spacing w:line="262"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单</w:t>
            </w:r>
            <w:r>
              <w:rPr>
                <w:rFonts w:ascii="仿宋" w:hAnsi="仿宋" w:eastAsia="仿宋" w:cs="宋体"/>
                <w:spacing w:val="2"/>
                <w:kern w:val="2"/>
                <w:position w:val="-1"/>
                <w:sz w:val="24"/>
                <w:szCs w:val="24"/>
                <w:lang w:bidi="ar-SA"/>
              </w:rPr>
              <w:t>位</w:t>
            </w:r>
            <w:r>
              <w:rPr>
                <w:rFonts w:ascii="仿宋" w:hAnsi="仿宋" w:eastAsia="仿宋" w:cs="宋体"/>
                <w:kern w:val="2"/>
                <w:position w:val="-1"/>
                <w:sz w:val="24"/>
                <w:szCs w:val="24"/>
                <w:lang w:bidi="ar-SA"/>
              </w:rPr>
              <w:t>地址</w:t>
            </w:r>
          </w:p>
        </w:tc>
        <w:tc>
          <w:tcPr>
            <w:tcW w:w="6235" w:type="dxa"/>
            <w:gridSpan w:val="3"/>
            <w:tcBorders>
              <w:top w:val="single" w:color="000000" w:sz="4" w:space="0"/>
              <w:left w:val="single" w:color="000000" w:sz="4" w:space="0"/>
              <w:bottom w:val="single" w:color="000000" w:sz="4" w:space="0"/>
              <w:right w:val="single" w:color="000000" w:sz="4" w:space="0"/>
            </w:tcBorders>
          </w:tcPr>
          <w:p w14:paraId="5C72E094">
            <w:pPr>
              <w:spacing w:line="360" w:lineRule="auto"/>
              <w:ind w:firstLine="480" w:firstLineChars="200"/>
              <w:rPr>
                <w:rFonts w:ascii="仿宋" w:hAnsi="仿宋" w:eastAsia="仿宋"/>
                <w:kern w:val="2"/>
                <w:sz w:val="24"/>
                <w:szCs w:val="24"/>
                <w:lang w:bidi="ar-SA"/>
              </w:rPr>
            </w:pPr>
          </w:p>
        </w:tc>
      </w:tr>
      <w:tr w14:paraId="310FCA93">
        <w:tblPrEx>
          <w:tblCellMar>
            <w:top w:w="0" w:type="dxa"/>
            <w:left w:w="0" w:type="dxa"/>
            <w:bottom w:w="0" w:type="dxa"/>
            <w:right w:w="0" w:type="dxa"/>
          </w:tblCellMar>
        </w:tblPrEx>
        <w:trPr>
          <w:trHeight w:val="564" w:hRule="exact"/>
          <w:jc w:val="center"/>
        </w:trPr>
        <w:tc>
          <w:tcPr>
            <w:tcW w:w="2267" w:type="dxa"/>
            <w:tcBorders>
              <w:top w:val="single" w:color="000000" w:sz="4" w:space="0"/>
              <w:left w:val="single" w:color="000000" w:sz="4" w:space="0"/>
              <w:bottom w:val="single" w:color="000000" w:sz="4" w:space="0"/>
              <w:right w:val="single" w:color="000000" w:sz="4" w:space="0"/>
            </w:tcBorders>
          </w:tcPr>
          <w:p w14:paraId="7D43B8B3">
            <w:pPr>
              <w:spacing w:line="261"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法</w:t>
            </w:r>
            <w:r>
              <w:rPr>
                <w:rFonts w:ascii="仿宋" w:hAnsi="仿宋" w:eastAsia="仿宋" w:cs="宋体"/>
                <w:spacing w:val="2"/>
                <w:kern w:val="2"/>
                <w:position w:val="-1"/>
                <w:sz w:val="24"/>
                <w:szCs w:val="24"/>
                <w:lang w:bidi="ar-SA"/>
              </w:rPr>
              <w:t>定</w:t>
            </w:r>
            <w:r>
              <w:rPr>
                <w:rFonts w:ascii="仿宋" w:hAnsi="仿宋" w:eastAsia="仿宋" w:cs="宋体"/>
                <w:kern w:val="2"/>
                <w:position w:val="-1"/>
                <w:sz w:val="24"/>
                <w:szCs w:val="24"/>
                <w:lang w:bidi="ar-SA"/>
              </w:rPr>
              <w:t>代</w:t>
            </w:r>
            <w:r>
              <w:rPr>
                <w:rFonts w:ascii="仿宋" w:hAnsi="仿宋" w:eastAsia="仿宋" w:cs="宋体"/>
                <w:spacing w:val="2"/>
                <w:kern w:val="2"/>
                <w:position w:val="-1"/>
                <w:sz w:val="24"/>
                <w:szCs w:val="24"/>
                <w:lang w:bidi="ar-SA"/>
              </w:rPr>
              <w:t>表</w:t>
            </w:r>
            <w:r>
              <w:rPr>
                <w:rFonts w:ascii="仿宋" w:hAnsi="仿宋" w:eastAsia="仿宋" w:cs="宋体"/>
                <w:kern w:val="2"/>
                <w:position w:val="-1"/>
                <w:sz w:val="24"/>
                <w:szCs w:val="24"/>
                <w:lang w:bidi="ar-SA"/>
              </w:rPr>
              <w:t>人</w:t>
            </w:r>
          </w:p>
        </w:tc>
        <w:tc>
          <w:tcPr>
            <w:tcW w:w="1873" w:type="dxa"/>
            <w:tcBorders>
              <w:top w:val="single" w:color="000000" w:sz="4" w:space="0"/>
              <w:left w:val="single" w:color="000000" w:sz="4" w:space="0"/>
              <w:bottom w:val="single" w:color="000000" w:sz="4" w:space="0"/>
              <w:right w:val="single" w:color="000000" w:sz="4" w:space="0"/>
            </w:tcBorders>
          </w:tcPr>
          <w:p w14:paraId="4FB0C99C">
            <w:pPr>
              <w:spacing w:line="360" w:lineRule="auto"/>
              <w:ind w:firstLine="480" w:firstLineChars="200"/>
              <w:rPr>
                <w:rFonts w:ascii="仿宋" w:hAnsi="仿宋" w:eastAsia="仿宋"/>
                <w:kern w:val="2"/>
                <w:sz w:val="24"/>
                <w:szCs w:val="24"/>
                <w:lang w:bidi="ar-SA"/>
              </w:rPr>
            </w:pPr>
          </w:p>
        </w:tc>
        <w:tc>
          <w:tcPr>
            <w:tcW w:w="2550" w:type="dxa"/>
            <w:tcBorders>
              <w:top w:val="single" w:color="000000" w:sz="4" w:space="0"/>
              <w:left w:val="single" w:color="000000" w:sz="4" w:space="0"/>
              <w:bottom w:val="single" w:color="000000" w:sz="4" w:space="0"/>
              <w:right w:val="single" w:color="000000" w:sz="4" w:space="0"/>
            </w:tcBorders>
          </w:tcPr>
          <w:p w14:paraId="7E28DBF0">
            <w:pPr>
              <w:tabs>
                <w:tab w:val="left" w:pos="720"/>
              </w:tabs>
              <w:spacing w:line="261"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邮</w:t>
            </w:r>
            <w:r>
              <w:rPr>
                <w:rFonts w:ascii="仿宋" w:hAnsi="仿宋" w:eastAsia="仿宋" w:cs="宋体"/>
                <w:kern w:val="2"/>
                <w:position w:val="-1"/>
                <w:sz w:val="24"/>
                <w:szCs w:val="24"/>
                <w:lang w:bidi="ar-SA"/>
              </w:rPr>
              <w:tab/>
            </w:r>
            <w:r>
              <w:rPr>
                <w:rFonts w:ascii="仿宋" w:hAnsi="仿宋" w:eastAsia="仿宋" w:cs="宋体"/>
                <w:kern w:val="2"/>
                <w:position w:val="-1"/>
                <w:sz w:val="24"/>
                <w:szCs w:val="24"/>
                <w:lang w:bidi="ar-SA"/>
              </w:rPr>
              <w:t>编</w:t>
            </w:r>
          </w:p>
        </w:tc>
        <w:tc>
          <w:tcPr>
            <w:tcW w:w="1812" w:type="dxa"/>
            <w:tcBorders>
              <w:top w:val="single" w:color="000000" w:sz="4" w:space="0"/>
              <w:left w:val="single" w:color="000000" w:sz="4" w:space="0"/>
              <w:bottom w:val="single" w:color="000000" w:sz="4" w:space="0"/>
              <w:right w:val="single" w:color="000000" w:sz="4" w:space="0"/>
            </w:tcBorders>
          </w:tcPr>
          <w:p w14:paraId="51B27A3E">
            <w:pPr>
              <w:spacing w:line="360" w:lineRule="auto"/>
              <w:ind w:firstLine="480" w:firstLineChars="200"/>
              <w:rPr>
                <w:rFonts w:ascii="仿宋" w:hAnsi="仿宋" w:eastAsia="仿宋"/>
                <w:kern w:val="2"/>
                <w:sz w:val="24"/>
                <w:szCs w:val="24"/>
                <w:lang w:bidi="ar-SA"/>
              </w:rPr>
            </w:pPr>
          </w:p>
        </w:tc>
      </w:tr>
      <w:tr w14:paraId="15E38F52">
        <w:tblPrEx>
          <w:tblCellMar>
            <w:top w:w="0" w:type="dxa"/>
            <w:left w:w="0" w:type="dxa"/>
            <w:bottom w:w="0" w:type="dxa"/>
            <w:right w:w="0" w:type="dxa"/>
          </w:tblCellMar>
        </w:tblPrEx>
        <w:trPr>
          <w:trHeight w:val="570" w:hRule="exact"/>
          <w:jc w:val="center"/>
        </w:trPr>
        <w:tc>
          <w:tcPr>
            <w:tcW w:w="2267" w:type="dxa"/>
            <w:tcBorders>
              <w:top w:val="single" w:color="000000" w:sz="4" w:space="0"/>
              <w:left w:val="single" w:color="000000" w:sz="4" w:space="0"/>
              <w:bottom w:val="single" w:color="000000" w:sz="4" w:space="0"/>
              <w:right w:val="single" w:color="000000" w:sz="4" w:space="0"/>
            </w:tcBorders>
          </w:tcPr>
          <w:p w14:paraId="5CF4FBDF">
            <w:pPr>
              <w:spacing w:line="261"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单</w:t>
            </w:r>
            <w:r>
              <w:rPr>
                <w:rFonts w:ascii="仿宋" w:hAnsi="仿宋" w:eastAsia="仿宋" w:cs="宋体"/>
                <w:spacing w:val="2"/>
                <w:kern w:val="2"/>
                <w:position w:val="-1"/>
                <w:sz w:val="24"/>
                <w:szCs w:val="24"/>
                <w:lang w:bidi="ar-SA"/>
              </w:rPr>
              <w:t>位</w:t>
            </w:r>
            <w:r>
              <w:rPr>
                <w:rFonts w:ascii="仿宋" w:hAnsi="仿宋" w:eastAsia="仿宋" w:cs="宋体"/>
                <w:kern w:val="2"/>
                <w:position w:val="-1"/>
                <w:sz w:val="24"/>
                <w:szCs w:val="24"/>
                <w:lang w:bidi="ar-SA"/>
              </w:rPr>
              <w:t>电话</w:t>
            </w:r>
          </w:p>
        </w:tc>
        <w:tc>
          <w:tcPr>
            <w:tcW w:w="1873" w:type="dxa"/>
            <w:tcBorders>
              <w:top w:val="single" w:color="000000" w:sz="4" w:space="0"/>
              <w:left w:val="single" w:color="000000" w:sz="4" w:space="0"/>
              <w:bottom w:val="single" w:color="000000" w:sz="4" w:space="0"/>
              <w:right w:val="single" w:color="000000" w:sz="4" w:space="0"/>
            </w:tcBorders>
          </w:tcPr>
          <w:p w14:paraId="6A3D9CA1">
            <w:pPr>
              <w:spacing w:line="360" w:lineRule="auto"/>
              <w:ind w:firstLine="480" w:firstLineChars="200"/>
              <w:rPr>
                <w:rFonts w:ascii="仿宋" w:hAnsi="仿宋" w:eastAsia="仿宋"/>
                <w:kern w:val="2"/>
                <w:sz w:val="24"/>
                <w:szCs w:val="24"/>
                <w:lang w:bidi="ar-SA"/>
              </w:rPr>
            </w:pPr>
          </w:p>
        </w:tc>
        <w:tc>
          <w:tcPr>
            <w:tcW w:w="2550" w:type="dxa"/>
            <w:tcBorders>
              <w:top w:val="single" w:color="000000" w:sz="4" w:space="0"/>
              <w:left w:val="single" w:color="000000" w:sz="4" w:space="0"/>
              <w:bottom w:val="single" w:color="000000" w:sz="4" w:space="0"/>
              <w:right w:val="single" w:color="000000" w:sz="4" w:space="0"/>
            </w:tcBorders>
          </w:tcPr>
          <w:p w14:paraId="515A7BA2">
            <w:pPr>
              <w:spacing w:line="261"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传</w:t>
            </w:r>
            <w:r>
              <w:rPr>
                <w:rFonts w:ascii="仿宋" w:hAnsi="仿宋" w:eastAsia="仿宋" w:cs="宋体"/>
                <w:spacing w:val="2"/>
                <w:kern w:val="2"/>
                <w:position w:val="-1"/>
                <w:sz w:val="24"/>
                <w:szCs w:val="24"/>
                <w:lang w:bidi="ar-SA"/>
              </w:rPr>
              <w:t>真</w:t>
            </w:r>
            <w:r>
              <w:rPr>
                <w:rFonts w:ascii="仿宋" w:hAnsi="仿宋" w:eastAsia="仿宋" w:cs="宋体"/>
                <w:kern w:val="2"/>
                <w:position w:val="-1"/>
                <w:sz w:val="24"/>
                <w:szCs w:val="24"/>
                <w:lang w:bidi="ar-SA"/>
              </w:rPr>
              <w:t>号码</w:t>
            </w:r>
          </w:p>
        </w:tc>
        <w:tc>
          <w:tcPr>
            <w:tcW w:w="1812" w:type="dxa"/>
            <w:tcBorders>
              <w:top w:val="single" w:color="000000" w:sz="4" w:space="0"/>
              <w:left w:val="single" w:color="000000" w:sz="4" w:space="0"/>
              <w:bottom w:val="single" w:color="000000" w:sz="4" w:space="0"/>
              <w:right w:val="single" w:color="000000" w:sz="4" w:space="0"/>
            </w:tcBorders>
          </w:tcPr>
          <w:p w14:paraId="53CCBAB4">
            <w:pPr>
              <w:spacing w:line="360" w:lineRule="auto"/>
              <w:ind w:firstLine="480" w:firstLineChars="200"/>
              <w:rPr>
                <w:rFonts w:ascii="仿宋" w:hAnsi="仿宋" w:eastAsia="仿宋"/>
                <w:kern w:val="2"/>
                <w:sz w:val="24"/>
                <w:szCs w:val="24"/>
                <w:lang w:bidi="ar-SA"/>
              </w:rPr>
            </w:pPr>
          </w:p>
        </w:tc>
      </w:tr>
      <w:tr w14:paraId="43D2C8B8">
        <w:tblPrEx>
          <w:tblCellMar>
            <w:top w:w="0" w:type="dxa"/>
            <w:left w:w="0" w:type="dxa"/>
            <w:bottom w:w="0" w:type="dxa"/>
            <w:right w:w="0" w:type="dxa"/>
          </w:tblCellMar>
        </w:tblPrEx>
        <w:trPr>
          <w:trHeight w:val="563" w:hRule="exact"/>
          <w:jc w:val="center"/>
        </w:trPr>
        <w:tc>
          <w:tcPr>
            <w:tcW w:w="2267" w:type="dxa"/>
            <w:tcBorders>
              <w:top w:val="single" w:color="000000" w:sz="4" w:space="0"/>
              <w:left w:val="single" w:color="000000" w:sz="4" w:space="0"/>
              <w:bottom w:val="single" w:color="000000" w:sz="4" w:space="0"/>
              <w:right w:val="single" w:color="000000" w:sz="4" w:space="0"/>
            </w:tcBorders>
          </w:tcPr>
          <w:p w14:paraId="615B9F98">
            <w:pPr>
              <w:spacing w:line="260"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项</w:t>
            </w:r>
            <w:r>
              <w:rPr>
                <w:rFonts w:ascii="仿宋" w:hAnsi="仿宋" w:eastAsia="仿宋" w:cs="宋体"/>
                <w:spacing w:val="2"/>
                <w:kern w:val="2"/>
                <w:position w:val="-1"/>
                <w:sz w:val="24"/>
                <w:szCs w:val="24"/>
                <w:lang w:bidi="ar-SA"/>
              </w:rPr>
              <w:t>目</w:t>
            </w:r>
            <w:r>
              <w:rPr>
                <w:rFonts w:ascii="仿宋" w:hAnsi="仿宋" w:eastAsia="仿宋" w:cs="宋体"/>
                <w:kern w:val="2"/>
                <w:position w:val="-1"/>
                <w:sz w:val="24"/>
                <w:szCs w:val="24"/>
                <w:lang w:bidi="ar-SA"/>
              </w:rPr>
              <w:t>联</w:t>
            </w:r>
            <w:r>
              <w:rPr>
                <w:rFonts w:ascii="仿宋" w:hAnsi="仿宋" w:eastAsia="仿宋" w:cs="宋体"/>
                <w:spacing w:val="2"/>
                <w:kern w:val="2"/>
                <w:position w:val="-1"/>
                <w:sz w:val="24"/>
                <w:szCs w:val="24"/>
                <w:lang w:bidi="ar-SA"/>
              </w:rPr>
              <w:t>系</w:t>
            </w:r>
            <w:r>
              <w:rPr>
                <w:rFonts w:ascii="仿宋" w:hAnsi="仿宋" w:eastAsia="仿宋" w:cs="宋体"/>
                <w:kern w:val="2"/>
                <w:position w:val="-1"/>
                <w:sz w:val="24"/>
                <w:szCs w:val="24"/>
                <w:lang w:bidi="ar-SA"/>
              </w:rPr>
              <w:t>人</w:t>
            </w:r>
          </w:p>
        </w:tc>
        <w:tc>
          <w:tcPr>
            <w:tcW w:w="1873" w:type="dxa"/>
            <w:tcBorders>
              <w:top w:val="single" w:color="000000" w:sz="4" w:space="0"/>
              <w:left w:val="single" w:color="000000" w:sz="4" w:space="0"/>
              <w:bottom w:val="single" w:color="000000" w:sz="4" w:space="0"/>
              <w:right w:val="single" w:color="000000" w:sz="4" w:space="0"/>
            </w:tcBorders>
          </w:tcPr>
          <w:p w14:paraId="6C544ADD">
            <w:pPr>
              <w:spacing w:line="360" w:lineRule="auto"/>
              <w:ind w:firstLine="480" w:firstLineChars="200"/>
              <w:rPr>
                <w:rFonts w:ascii="仿宋" w:hAnsi="仿宋" w:eastAsia="仿宋"/>
                <w:kern w:val="2"/>
                <w:sz w:val="24"/>
                <w:szCs w:val="24"/>
                <w:lang w:bidi="ar-SA"/>
              </w:rPr>
            </w:pPr>
          </w:p>
        </w:tc>
        <w:tc>
          <w:tcPr>
            <w:tcW w:w="2550" w:type="dxa"/>
            <w:tcBorders>
              <w:top w:val="single" w:color="000000" w:sz="4" w:space="0"/>
              <w:left w:val="single" w:color="000000" w:sz="4" w:space="0"/>
              <w:bottom w:val="single" w:color="000000" w:sz="4" w:space="0"/>
              <w:right w:val="single" w:color="000000" w:sz="4" w:space="0"/>
            </w:tcBorders>
          </w:tcPr>
          <w:p w14:paraId="4762BFC3">
            <w:pPr>
              <w:tabs>
                <w:tab w:val="left" w:pos="720"/>
              </w:tabs>
              <w:spacing w:line="260"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邮</w:t>
            </w:r>
            <w:r>
              <w:rPr>
                <w:rFonts w:ascii="仿宋" w:hAnsi="仿宋" w:eastAsia="仿宋" w:cs="宋体"/>
                <w:kern w:val="2"/>
                <w:position w:val="-1"/>
                <w:sz w:val="24"/>
                <w:szCs w:val="24"/>
                <w:lang w:bidi="ar-SA"/>
              </w:rPr>
              <w:tab/>
            </w:r>
            <w:r>
              <w:rPr>
                <w:rFonts w:ascii="仿宋" w:hAnsi="仿宋" w:eastAsia="仿宋" w:cs="宋体"/>
                <w:kern w:val="2"/>
                <w:position w:val="-1"/>
                <w:sz w:val="24"/>
                <w:szCs w:val="24"/>
                <w:lang w:bidi="ar-SA"/>
              </w:rPr>
              <w:t>箱</w:t>
            </w:r>
          </w:p>
        </w:tc>
        <w:tc>
          <w:tcPr>
            <w:tcW w:w="1812" w:type="dxa"/>
            <w:tcBorders>
              <w:top w:val="single" w:color="000000" w:sz="4" w:space="0"/>
              <w:left w:val="single" w:color="000000" w:sz="4" w:space="0"/>
              <w:bottom w:val="single" w:color="000000" w:sz="4" w:space="0"/>
              <w:right w:val="single" w:color="000000" w:sz="4" w:space="0"/>
            </w:tcBorders>
          </w:tcPr>
          <w:p w14:paraId="62B35109">
            <w:pPr>
              <w:spacing w:line="360" w:lineRule="auto"/>
              <w:ind w:firstLine="480" w:firstLineChars="200"/>
              <w:rPr>
                <w:rFonts w:ascii="仿宋" w:hAnsi="仿宋" w:eastAsia="仿宋"/>
                <w:kern w:val="2"/>
                <w:sz w:val="24"/>
                <w:szCs w:val="24"/>
                <w:lang w:bidi="ar-SA"/>
              </w:rPr>
            </w:pPr>
          </w:p>
        </w:tc>
      </w:tr>
      <w:tr w14:paraId="292F688B">
        <w:tblPrEx>
          <w:tblCellMar>
            <w:top w:w="0" w:type="dxa"/>
            <w:left w:w="0" w:type="dxa"/>
            <w:bottom w:w="0" w:type="dxa"/>
            <w:right w:w="0" w:type="dxa"/>
          </w:tblCellMar>
        </w:tblPrEx>
        <w:trPr>
          <w:trHeight w:val="550" w:hRule="exact"/>
          <w:jc w:val="center"/>
        </w:trPr>
        <w:tc>
          <w:tcPr>
            <w:tcW w:w="2267" w:type="dxa"/>
            <w:tcBorders>
              <w:top w:val="single" w:color="000000" w:sz="4" w:space="0"/>
              <w:left w:val="single" w:color="000000" w:sz="4" w:space="0"/>
              <w:bottom w:val="single" w:color="000000" w:sz="4" w:space="0"/>
              <w:right w:val="single" w:color="000000" w:sz="4" w:space="0"/>
            </w:tcBorders>
          </w:tcPr>
          <w:p w14:paraId="74B1F374">
            <w:pPr>
              <w:spacing w:line="260"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联</w:t>
            </w:r>
            <w:r>
              <w:rPr>
                <w:rFonts w:ascii="仿宋" w:hAnsi="仿宋" w:eastAsia="仿宋" w:cs="宋体"/>
                <w:spacing w:val="2"/>
                <w:kern w:val="2"/>
                <w:position w:val="-1"/>
                <w:sz w:val="24"/>
                <w:szCs w:val="24"/>
                <w:lang w:bidi="ar-SA"/>
              </w:rPr>
              <w:t>系</w:t>
            </w:r>
            <w:r>
              <w:rPr>
                <w:rFonts w:ascii="仿宋" w:hAnsi="仿宋" w:eastAsia="仿宋" w:cs="宋体"/>
                <w:kern w:val="2"/>
                <w:position w:val="-1"/>
                <w:sz w:val="24"/>
                <w:szCs w:val="24"/>
                <w:lang w:bidi="ar-SA"/>
              </w:rPr>
              <w:t>人</w:t>
            </w:r>
            <w:r>
              <w:rPr>
                <w:rFonts w:ascii="仿宋" w:hAnsi="仿宋" w:eastAsia="仿宋" w:cs="宋体"/>
                <w:spacing w:val="2"/>
                <w:kern w:val="2"/>
                <w:position w:val="-1"/>
                <w:sz w:val="24"/>
                <w:szCs w:val="24"/>
                <w:lang w:bidi="ar-SA"/>
              </w:rPr>
              <w:t>电</w:t>
            </w:r>
            <w:r>
              <w:rPr>
                <w:rFonts w:ascii="仿宋" w:hAnsi="仿宋" w:eastAsia="仿宋" w:cs="宋体"/>
                <w:kern w:val="2"/>
                <w:position w:val="-1"/>
                <w:sz w:val="24"/>
                <w:szCs w:val="24"/>
                <w:lang w:bidi="ar-SA"/>
              </w:rPr>
              <w:t>话</w:t>
            </w:r>
          </w:p>
        </w:tc>
        <w:tc>
          <w:tcPr>
            <w:tcW w:w="1873" w:type="dxa"/>
            <w:tcBorders>
              <w:top w:val="single" w:color="000000" w:sz="4" w:space="0"/>
              <w:left w:val="single" w:color="000000" w:sz="4" w:space="0"/>
              <w:bottom w:val="single" w:color="000000" w:sz="4" w:space="0"/>
              <w:right w:val="single" w:color="000000" w:sz="4" w:space="0"/>
            </w:tcBorders>
          </w:tcPr>
          <w:p w14:paraId="5347806C">
            <w:pPr>
              <w:spacing w:line="360" w:lineRule="auto"/>
              <w:ind w:firstLine="480" w:firstLineChars="200"/>
              <w:rPr>
                <w:rFonts w:ascii="仿宋" w:hAnsi="仿宋" w:eastAsia="仿宋"/>
                <w:kern w:val="2"/>
                <w:sz w:val="24"/>
                <w:szCs w:val="24"/>
                <w:lang w:bidi="ar-SA"/>
              </w:rPr>
            </w:pPr>
          </w:p>
        </w:tc>
        <w:tc>
          <w:tcPr>
            <w:tcW w:w="2550" w:type="dxa"/>
            <w:tcBorders>
              <w:top w:val="single" w:color="000000" w:sz="4" w:space="0"/>
              <w:left w:val="single" w:color="000000" w:sz="4" w:space="0"/>
              <w:bottom w:val="single" w:color="000000" w:sz="4" w:space="0"/>
              <w:right w:val="single" w:color="000000" w:sz="4" w:space="0"/>
            </w:tcBorders>
          </w:tcPr>
          <w:p w14:paraId="48F06A16">
            <w:pPr>
              <w:spacing w:line="260" w:lineRule="exact"/>
              <w:ind w:left="103" w:right="-20" w:firstLine="480" w:firstLineChars="200"/>
              <w:jc w:val="left"/>
              <w:rPr>
                <w:rFonts w:ascii="仿宋" w:hAnsi="仿宋" w:eastAsia="仿宋" w:cs="宋体"/>
                <w:kern w:val="2"/>
                <w:sz w:val="24"/>
                <w:szCs w:val="24"/>
                <w:lang w:bidi="ar-SA"/>
              </w:rPr>
            </w:pPr>
            <w:r>
              <w:rPr>
                <w:rFonts w:ascii="仿宋" w:hAnsi="仿宋" w:eastAsia="仿宋" w:cs="宋体"/>
                <w:kern w:val="2"/>
                <w:position w:val="-1"/>
                <w:sz w:val="24"/>
                <w:szCs w:val="24"/>
                <w:lang w:bidi="ar-SA"/>
              </w:rPr>
              <w:t>联</w:t>
            </w:r>
            <w:r>
              <w:rPr>
                <w:rFonts w:ascii="仿宋" w:hAnsi="仿宋" w:eastAsia="仿宋" w:cs="宋体"/>
                <w:spacing w:val="2"/>
                <w:kern w:val="2"/>
                <w:position w:val="-1"/>
                <w:sz w:val="24"/>
                <w:szCs w:val="24"/>
                <w:lang w:bidi="ar-SA"/>
              </w:rPr>
              <w:t>系</w:t>
            </w:r>
            <w:r>
              <w:rPr>
                <w:rFonts w:ascii="仿宋" w:hAnsi="仿宋" w:eastAsia="仿宋" w:cs="宋体"/>
                <w:kern w:val="2"/>
                <w:position w:val="-1"/>
                <w:sz w:val="24"/>
                <w:szCs w:val="24"/>
                <w:lang w:bidi="ar-SA"/>
              </w:rPr>
              <w:t>人</w:t>
            </w:r>
            <w:r>
              <w:rPr>
                <w:rFonts w:ascii="仿宋" w:hAnsi="仿宋" w:eastAsia="仿宋" w:cs="宋体"/>
                <w:spacing w:val="2"/>
                <w:kern w:val="2"/>
                <w:position w:val="-1"/>
                <w:sz w:val="24"/>
                <w:szCs w:val="24"/>
                <w:lang w:bidi="ar-SA"/>
              </w:rPr>
              <w:t>手</w:t>
            </w:r>
            <w:r>
              <w:rPr>
                <w:rFonts w:ascii="仿宋" w:hAnsi="仿宋" w:eastAsia="仿宋" w:cs="宋体"/>
                <w:kern w:val="2"/>
                <w:position w:val="-1"/>
                <w:sz w:val="24"/>
                <w:szCs w:val="24"/>
                <w:lang w:bidi="ar-SA"/>
              </w:rPr>
              <w:t>机</w:t>
            </w:r>
          </w:p>
        </w:tc>
        <w:tc>
          <w:tcPr>
            <w:tcW w:w="1812" w:type="dxa"/>
            <w:tcBorders>
              <w:top w:val="single" w:color="000000" w:sz="4" w:space="0"/>
              <w:left w:val="single" w:color="000000" w:sz="4" w:space="0"/>
              <w:bottom w:val="single" w:color="000000" w:sz="4" w:space="0"/>
              <w:right w:val="single" w:color="000000" w:sz="4" w:space="0"/>
            </w:tcBorders>
          </w:tcPr>
          <w:p w14:paraId="303B7964">
            <w:pPr>
              <w:spacing w:line="360" w:lineRule="auto"/>
              <w:ind w:firstLine="480" w:firstLineChars="200"/>
              <w:rPr>
                <w:rFonts w:ascii="仿宋" w:hAnsi="仿宋" w:eastAsia="仿宋"/>
                <w:kern w:val="2"/>
                <w:sz w:val="24"/>
                <w:szCs w:val="24"/>
                <w:lang w:bidi="ar-SA"/>
              </w:rPr>
            </w:pPr>
          </w:p>
        </w:tc>
      </w:tr>
      <w:tr w14:paraId="5F793A55">
        <w:tblPrEx>
          <w:tblCellMar>
            <w:top w:w="0" w:type="dxa"/>
            <w:left w:w="0" w:type="dxa"/>
            <w:bottom w:w="0" w:type="dxa"/>
            <w:right w:w="0" w:type="dxa"/>
          </w:tblCellMar>
        </w:tblPrEx>
        <w:trPr>
          <w:trHeight w:val="559" w:hRule="exact"/>
          <w:jc w:val="center"/>
        </w:trPr>
        <w:tc>
          <w:tcPr>
            <w:tcW w:w="2267" w:type="dxa"/>
            <w:tcBorders>
              <w:top w:val="single" w:color="000000" w:sz="4" w:space="0"/>
              <w:left w:val="single" w:color="000000" w:sz="4" w:space="0"/>
              <w:bottom w:val="single" w:color="000000" w:sz="4" w:space="0"/>
              <w:right w:val="single" w:color="000000" w:sz="4" w:space="0"/>
            </w:tcBorders>
          </w:tcPr>
          <w:p w14:paraId="281CA03B">
            <w:pPr>
              <w:spacing w:line="262" w:lineRule="exact"/>
              <w:ind w:left="103" w:right="-20" w:firstLine="480" w:firstLineChars="200"/>
              <w:jc w:val="left"/>
              <w:rPr>
                <w:rFonts w:ascii="仿宋" w:hAnsi="仿宋" w:eastAsia="仿宋" w:cs="宋体"/>
                <w:kern w:val="2"/>
                <w:sz w:val="24"/>
                <w:szCs w:val="24"/>
                <w:lang w:bidi="ar-SA"/>
              </w:rPr>
            </w:pPr>
            <w:r>
              <w:rPr>
                <w:rFonts w:hint="eastAsia" w:ascii="仿宋" w:hAnsi="仿宋" w:eastAsia="仿宋" w:cs="宋体"/>
                <w:kern w:val="2"/>
                <w:position w:val="-1"/>
                <w:sz w:val="24"/>
                <w:szCs w:val="24"/>
                <w:lang w:bidi="ar-SA"/>
              </w:rPr>
              <w:t>磋商</w:t>
            </w:r>
            <w:r>
              <w:rPr>
                <w:rFonts w:ascii="仿宋" w:hAnsi="仿宋" w:eastAsia="仿宋" w:cs="宋体"/>
                <w:kern w:val="2"/>
                <w:position w:val="-1"/>
                <w:sz w:val="24"/>
                <w:szCs w:val="24"/>
                <w:lang w:bidi="ar-SA"/>
              </w:rPr>
              <w:t>项</w:t>
            </w:r>
            <w:r>
              <w:rPr>
                <w:rFonts w:ascii="仿宋" w:hAnsi="仿宋" w:eastAsia="仿宋" w:cs="宋体"/>
                <w:spacing w:val="2"/>
                <w:kern w:val="2"/>
                <w:position w:val="-1"/>
                <w:sz w:val="24"/>
                <w:szCs w:val="24"/>
                <w:lang w:bidi="ar-SA"/>
              </w:rPr>
              <w:t>目</w:t>
            </w:r>
            <w:r>
              <w:rPr>
                <w:rFonts w:ascii="仿宋" w:hAnsi="仿宋" w:eastAsia="仿宋" w:cs="宋体"/>
                <w:kern w:val="2"/>
                <w:position w:val="-1"/>
                <w:sz w:val="24"/>
                <w:szCs w:val="24"/>
                <w:lang w:bidi="ar-SA"/>
              </w:rPr>
              <w:t>名称</w:t>
            </w:r>
          </w:p>
        </w:tc>
        <w:tc>
          <w:tcPr>
            <w:tcW w:w="6235" w:type="dxa"/>
            <w:gridSpan w:val="3"/>
            <w:tcBorders>
              <w:top w:val="single" w:color="000000" w:sz="4" w:space="0"/>
              <w:left w:val="single" w:color="000000" w:sz="4" w:space="0"/>
              <w:bottom w:val="single" w:color="000000" w:sz="4" w:space="0"/>
              <w:right w:val="single" w:color="000000" w:sz="4" w:space="0"/>
            </w:tcBorders>
          </w:tcPr>
          <w:p w14:paraId="35AD0451">
            <w:pPr>
              <w:spacing w:line="360" w:lineRule="auto"/>
              <w:ind w:firstLine="480" w:firstLineChars="200"/>
              <w:rPr>
                <w:rFonts w:ascii="仿宋" w:hAnsi="仿宋" w:eastAsia="仿宋"/>
                <w:kern w:val="2"/>
                <w:sz w:val="24"/>
                <w:szCs w:val="24"/>
                <w:lang w:bidi="ar-SA"/>
              </w:rPr>
            </w:pPr>
          </w:p>
        </w:tc>
      </w:tr>
    </w:tbl>
    <w:p w14:paraId="2860CFB0">
      <w:pPr>
        <w:spacing w:before="2" w:line="130" w:lineRule="exact"/>
        <w:ind w:firstLine="480" w:firstLineChars="200"/>
        <w:jc w:val="left"/>
        <w:rPr>
          <w:rFonts w:ascii="仿宋" w:hAnsi="仿宋" w:eastAsia="仿宋"/>
          <w:kern w:val="2"/>
          <w:sz w:val="24"/>
          <w:szCs w:val="24"/>
          <w:lang w:bidi="ar-SA"/>
        </w:rPr>
      </w:pPr>
    </w:p>
    <w:p w14:paraId="4E2D6710">
      <w:pPr>
        <w:wordWrap w:val="0"/>
        <w:spacing w:line="360" w:lineRule="auto"/>
        <w:ind w:firstLine="488" w:firstLineChars="200"/>
        <w:jc w:val="left"/>
        <w:rPr>
          <w:rFonts w:ascii="仿宋" w:hAnsi="仿宋" w:eastAsia="仿宋"/>
          <w:kern w:val="2"/>
          <w:sz w:val="24"/>
          <w:szCs w:val="24"/>
          <w:lang w:bidi="ar-SA"/>
        </w:rPr>
      </w:pPr>
      <w:r>
        <w:rPr>
          <w:rFonts w:ascii="仿宋" w:hAnsi="仿宋" w:eastAsia="仿宋" w:cs="宋体"/>
          <w:spacing w:val="2"/>
          <w:kern w:val="2"/>
          <w:position w:val="-1"/>
          <w:sz w:val="24"/>
          <w:szCs w:val="24"/>
          <w:lang w:bidi="ar-SA"/>
        </w:rPr>
        <w:t>备注</w:t>
      </w:r>
      <w:r>
        <w:rPr>
          <w:rFonts w:ascii="仿宋" w:hAnsi="仿宋" w:eastAsia="仿宋" w:cs="宋体"/>
          <w:spacing w:val="-3"/>
          <w:kern w:val="2"/>
          <w:position w:val="-1"/>
          <w:sz w:val="24"/>
          <w:szCs w:val="24"/>
          <w:lang w:bidi="ar-SA"/>
        </w:rPr>
        <w:t>：</w:t>
      </w:r>
      <w:r>
        <w:rPr>
          <w:rFonts w:ascii="仿宋" w:hAnsi="仿宋" w:eastAsia="仿宋" w:cs="宋体"/>
          <w:spacing w:val="3"/>
          <w:kern w:val="2"/>
          <w:position w:val="-1"/>
          <w:sz w:val="24"/>
          <w:szCs w:val="24"/>
          <w:lang w:bidi="ar-SA"/>
        </w:rPr>
        <w:t>1</w:t>
      </w:r>
      <w:r>
        <w:rPr>
          <w:rFonts w:ascii="仿宋" w:hAnsi="仿宋" w:eastAsia="仿宋" w:cs="宋体"/>
          <w:spacing w:val="-5"/>
          <w:kern w:val="2"/>
          <w:position w:val="-1"/>
          <w:sz w:val="24"/>
          <w:szCs w:val="24"/>
          <w:lang w:bidi="ar-SA"/>
        </w:rPr>
        <w:t>、</w:t>
      </w:r>
      <w:r>
        <w:rPr>
          <w:rFonts w:ascii="仿宋" w:hAnsi="仿宋" w:eastAsia="仿宋" w:cs="宋体"/>
          <w:spacing w:val="2"/>
          <w:kern w:val="2"/>
          <w:position w:val="-1"/>
          <w:sz w:val="24"/>
          <w:szCs w:val="24"/>
          <w:lang w:bidi="ar-SA"/>
        </w:rPr>
        <w:t>请准</w:t>
      </w:r>
      <w:r>
        <w:rPr>
          <w:rFonts w:ascii="仿宋" w:hAnsi="仿宋" w:eastAsia="仿宋" w:cs="宋体"/>
          <w:spacing w:val="5"/>
          <w:kern w:val="2"/>
          <w:position w:val="-1"/>
          <w:sz w:val="24"/>
          <w:szCs w:val="24"/>
          <w:lang w:bidi="ar-SA"/>
        </w:rPr>
        <w:t>备</w:t>
      </w:r>
      <w:r>
        <w:rPr>
          <w:rFonts w:ascii="仿宋" w:hAnsi="仿宋" w:eastAsia="仿宋" w:cs="宋体"/>
          <w:spacing w:val="2"/>
          <w:kern w:val="2"/>
          <w:position w:val="-1"/>
          <w:sz w:val="24"/>
          <w:szCs w:val="24"/>
          <w:lang w:bidi="ar-SA"/>
        </w:rPr>
        <w:t>参与本项目</w:t>
      </w:r>
      <w:r>
        <w:rPr>
          <w:rFonts w:hint="eastAsia" w:ascii="仿宋" w:hAnsi="仿宋" w:eastAsia="仿宋" w:cs="宋体"/>
          <w:spacing w:val="5"/>
          <w:kern w:val="2"/>
          <w:position w:val="-1"/>
          <w:sz w:val="24"/>
          <w:szCs w:val="24"/>
          <w:lang w:bidi="ar-SA"/>
        </w:rPr>
        <w:t>磋商</w:t>
      </w:r>
      <w:r>
        <w:rPr>
          <w:rFonts w:ascii="仿宋" w:hAnsi="仿宋" w:eastAsia="仿宋" w:cs="宋体"/>
          <w:spacing w:val="2"/>
          <w:kern w:val="2"/>
          <w:position w:val="-1"/>
          <w:sz w:val="24"/>
          <w:szCs w:val="24"/>
          <w:lang w:bidi="ar-SA"/>
        </w:rPr>
        <w:t>的供应商</w:t>
      </w:r>
      <w:r>
        <w:rPr>
          <w:rFonts w:ascii="仿宋" w:hAnsi="仿宋" w:eastAsia="仿宋" w:cs="宋体"/>
          <w:spacing w:val="5"/>
          <w:kern w:val="2"/>
          <w:position w:val="-1"/>
          <w:sz w:val="24"/>
          <w:szCs w:val="24"/>
          <w:lang w:bidi="ar-SA"/>
        </w:rPr>
        <w:t>如</w:t>
      </w:r>
      <w:r>
        <w:rPr>
          <w:rFonts w:ascii="仿宋" w:hAnsi="仿宋" w:eastAsia="仿宋" w:cs="宋体"/>
          <w:spacing w:val="2"/>
          <w:kern w:val="2"/>
          <w:position w:val="-1"/>
          <w:sz w:val="24"/>
          <w:szCs w:val="24"/>
          <w:lang w:bidi="ar-SA"/>
        </w:rPr>
        <w:t>实填</w:t>
      </w:r>
      <w:r>
        <w:rPr>
          <w:rFonts w:ascii="仿宋" w:hAnsi="仿宋" w:eastAsia="仿宋" w:cs="宋体"/>
          <w:spacing w:val="-2"/>
          <w:kern w:val="2"/>
          <w:position w:val="-1"/>
          <w:sz w:val="24"/>
          <w:szCs w:val="24"/>
          <w:lang w:bidi="ar-SA"/>
        </w:rPr>
        <w:t>写</w:t>
      </w:r>
      <w:r>
        <w:rPr>
          <w:rFonts w:ascii="仿宋" w:hAnsi="仿宋" w:eastAsia="仿宋" w:cs="宋体"/>
          <w:spacing w:val="2"/>
          <w:kern w:val="2"/>
          <w:position w:val="-1"/>
          <w:sz w:val="24"/>
          <w:szCs w:val="24"/>
          <w:lang w:bidi="ar-SA"/>
        </w:rPr>
        <w:t>（以上</w:t>
      </w:r>
      <w:r>
        <w:rPr>
          <w:rFonts w:ascii="仿宋" w:hAnsi="仿宋" w:eastAsia="仿宋" w:cs="宋体"/>
          <w:spacing w:val="5"/>
          <w:kern w:val="2"/>
          <w:position w:val="-1"/>
          <w:sz w:val="24"/>
          <w:szCs w:val="24"/>
          <w:lang w:bidi="ar-SA"/>
        </w:rPr>
        <w:t>信</w:t>
      </w:r>
      <w:r>
        <w:rPr>
          <w:rFonts w:ascii="仿宋" w:hAnsi="仿宋" w:eastAsia="仿宋" w:cs="宋体"/>
          <w:spacing w:val="2"/>
          <w:kern w:val="2"/>
          <w:position w:val="-1"/>
          <w:sz w:val="24"/>
          <w:szCs w:val="24"/>
          <w:lang w:bidi="ar-SA"/>
        </w:rPr>
        <w:t>息均为必填</w:t>
      </w:r>
      <w:r>
        <w:rPr>
          <w:rFonts w:ascii="仿宋" w:hAnsi="仿宋" w:eastAsia="仿宋" w:cs="宋体"/>
          <w:spacing w:val="5"/>
          <w:kern w:val="2"/>
          <w:position w:val="-1"/>
          <w:sz w:val="24"/>
          <w:szCs w:val="24"/>
          <w:lang w:bidi="ar-SA"/>
        </w:rPr>
        <w:t>内</w:t>
      </w:r>
      <w:r>
        <w:rPr>
          <w:rFonts w:ascii="仿宋" w:hAnsi="仿宋" w:eastAsia="仿宋" w:cs="宋体"/>
          <w:spacing w:val="2"/>
          <w:kern w:val="2"/>
          <w:position w:val="-1"/>
          <w:sz w:val="24"/>
          <w:szCs w:val="24"/>
          <w:lang w:bidi="ar-SA"/>
        </w:rPr>
        <w:t>容</w:t>
      </w:r>
      <w:r>
        <w:rPr>
          <w:rFonts w:ascii="仿宋" w:hAnsi="仿宋" w:eastAsia="仿宋" w:cs="宋体"/>
          <w:spacing w:val="-3"/>
          <w:kern w:val="2"/>
          <w:position w:val="-1"/>
          <w:sz w:val="24"/>
          <w:szCs w:val="24"/>
          <w:lang w:bidi="ar-SA"/>
        </w:rPr>
        <w:t>）</w:t>
      </w:r>
      <w:r>
        <w:rPr>
          <w:rFonts w:ascii="仿宋" w:hAnsi="仿宋" w:eastAsia="仿宋" w:cs="宋体"/>
          <w:spacing w:val="2"/>
          <w:kern w:val="2"/>
          <w:position w:val="-1"/>
          <w:sz w:val="24"/>
          <w:szCs w:val="24"/>
          <w:lang w:bidi="ar-SA"/>
        </w:rPr>
        <w:t>后邮</w:t>
      </w:r>
      <w:r>
        <w:rPr>
          <w:rFonts w:ascii="仿宋" w:hAnsi="仿宋" w:eastAsia="仿宋" w:cs="宋体"/>
          <w:spacing w:val="5"/>
          <w:kern w:val="2"/>
          <w:position w:val="-1"/>
          <w:sz w:val="24"/>
          <w:szCs w:val="24"/>
          <w:lang w:bidi="ar-SA"/>
        </w:rPr>
        <w:t>件</w:t>
      </w:r>
      <w:r>
        <w:rPr>
          <w:rFonts w:ascii="仿宋" w:hAnsi="仿宋" w:eastAsia="仿宋" w:cs="宋体"/>
          <w:spacing w:val="2"/>
          <w:kern w:val="2"/>
          <w:position w:val="-1"/>
          <w:sz w:val="24"/>
          <w:szCs w:val="24"/>
          <w:lang w:bidi="ar-SA"/>
        </w:rPr>
        <w:t>至</w:t>
      </w:r>
      <w:r>
        <w:rPr>
          <w:rFonts w:ascii="仿宋" w:hAnsi="仿宋" w:eastAsia="仿宋" w:cs="宋体"/>
          <w:kern w:val="2"/>
          <w:position w:val="-1"/>
          <w:sz w:val="24"/>
          <w:szCs w:val="24"/>
          <w:lang w:bidi="ar-SA"/>
        </w:rPr>
        <w:t>采</w:t>
      </w:r>
      <w:r>
        <w:rPr>
          <w:rFonts w:ascii="仿宋" w:hAnsi="仿宋" w:eastAsia="仿宋" w:cs="宋体"/>
          <w:spacing w:val="2"/>
          <w:kern w:val="2"/>
          <w:sz w:val="24"/>
          <w:szCs w:val="24"/>
          <w:lang w:bidi="ar-SA"/>
        </w:rPr>
        <w:t>购代理</w:t>
      </w:r>
      <w:r>
        <w:rPr>
          <w:rFonts w:ascii="仿宋" w:hAnsi="仿宋" w:eastAsia="仿宋" w:cs="宋体"/>
          <w:kern w:val="2"/>
          <w:sz w:val="24"/>
          <w:szCs w:val="24"/>
          <w:lang w:bidi="ar-SA"/>
        </w:rPr>
        <w:t>机</w:t>
      </w:r>
      <w:r>
        <w:rPr>
          <w:rFonts w:ascii="仿宋" w:hAnsi="仿宋" w:eastAsia="仿宋" w:cs="宋体"/>
          <w:spacing w:val="2"/>
          <w:kern w:val="2"/>
          <w:sz w:val="24"/>
          <w:szCs w:val="24"/>
          <w:lang w:bidi="ar-SA"/>
        </w:rPr>
        <w:t>构（邮箱</w:t>
      </w:r>
      <w:r>
        <w:rPr>
          <w:rFonts w:ascii="仿宋" w:hAnsi="仿宋" w:eastAsia="仿宋" w:cs="宋体"/>
          <w:kern w:val="2"/>
          <w:sz w:val="24"/>
          <w:szCs w:val="24"/>
          <w:lang w:bidi="ar-SA"/>
        </w:rPr>
        <w:t>：</w:t>
      </w:r>
      <w:r>
        <w:rPr>
          <w:rFonts w:hint="eastAsia" w:ascii="仿宋" w:hAnsi="仿宋" w:eastAsia="仿宋"/>
          <w:kern w:val="2"/>
          <w:sz w:val="24"/>
          <w:szCs w:val="24"/>
          <w:lang w:bidi="ar-SA"/>
        </w:rPr>
        <w:t>13862943128@163.com，联系电话：13862943128</w:t>
      </w:r>
      <w:r>
        <w:rPr>
          <w:rFonts w:ascii="仿宋" w:hAnsi="仿宋" w:eastAsia="仿宋" w:cs="宋体"/>
          <w:spacing w:val="2"/>
          <w:kern w:val="2"/>
          <w:sz w:val="24"/>
          <w:szCs w:val="24"/>
          <w:lang w:bidi="ar-SA"/>
        </w:rPr>
        <w:t>）</w:t>
      </w:r>
      <w:r>
        <w:rPr>
          <w:rFonts w:ascii="仿宋" w:hAnsi="仿宋" w:eastAsia="仿宋" w:cs="宋体"/>
          <w:kern w:val="2"/>
          <w:sz w:val="24"/>
          <w:szCs w:val="24"/>
          <w:lang w:bidi="ar-SA"/>
        </w:rPr>
        <w:t>。</w:t>
      </w:r>
    </w:p>
    <w:p w14:paraId="69A74E19">
      <w:pPr>
        <w:spacing w:line="360" w:lineRule="auto"/>
        <w:ind w:firstLine="484" w:firstLineChars="200"/>
        <w:jc w:val="left"/>
        <w:rPr>
          <w:rFonts w:ascii="仿宋" w:hAnsi="仿宋" w:eastAsia="仿宋"/>
          <w:kern w:val="2"/>
          <w:sz w:val="24"/>
          <w:szCs w:val="24"/>
          <w:lang w:bidi="ar-SA"/>
        </w:rPr>
      </w:pPr>
      <w:r>
        <w:rPr>
          <w:rFonts w:ascii="仿宋" w:hAnsi="仿宋" w:eastAsia="仿宋" w:cs="宋体"/>
          <w:spacing w:val="1"/>
          <w:kern w:val="2"/>
          <w:sz w:val="24"/>
          <w:szCs w:val="24"/>
          <w:lang w:bidi="ar-SA"/>
        </w:rPr>
        <w:t>2</w:t>
      </w:r>
      <w:r>
        <w:rPr>
          <w:rFonts w:ascii="仿宋" w:hAnsi="仿宋" w:eastAsia="仿宋" w:cs="宋体"/>
          <w:spacing w:val="2"/>
          <w:kern w:val="2"/>
          <w:sz w:val="24"/>
          <w:szCs w:val="24"/>
          <w:lang w:bidi="ar-SA"/>
        </w:rPr>
        <w:t>、因</w:t>
      </w:r>
      <w:r>
        <w:rPr>
          <w:rFonts w:hint="eastAsia" w:ascii="仿宋" w:hAnsi="仿宋" w:eastAsia="仿宋" w:cs="宋体"/>
          <w:spacing w:val="2"/>
          <w:kern w:val="2"/>
          <w:sz w:val="24"/>
          <w:szCs w:val="24"/>
          <w:lang w:bidi="ar-SA"/>
        </w:rPr>
        <w:t>供应商</w:t>
      </w:r>
      <w:r>
        <w:rPr>
          <w:rFonts w:ascii="仿宋" w:hAnsi="仿宋" w:eastAsia="仿宋" w:cs="宋体"/>
          <w:spacing w:val="2"/>
          <w:kern w:val="2"/>
          <w:sz w:val="24"/>
          <w:szCs w:val="24"/>
          <w:lang w:bidi="ar-SA"/>
        </w:rPr>
        <w:t>填写有误</w:t>
      </w:r>
      <w:r>
        <w:rPr>
          <w:rFonts w:ascii="仿宋" w:hAnsi="仿宋" w:eastAsia="仿宋" w:cs="宋体"/>
          <w:kern w:val="2"/>
          <w:sz w:val="24"/>
          <w:szCs w:val="24"/>
          <w:lang w:bidi="ar-SA"/>
        </w:rPr>
        <w:t>，</w:t>
      </w:r>
      <w:r>
        <w:rPr>
          <w:rFonts w:ascii="仿宋" w:hAnsi="仿宋" w:eastAsia="仿宋" w:cs="宋体"/>
          <w:spacing w:val="2"/>
          <w:kern w:val="2"/>
          <w:sz w:val="24"/>
          <w:szCs w:val="24"/>
          <w:lang w:bidi="ar-SA"/>
        </w:rPr>
        <w:t>造成以上信</w:t>
      </w:r>
      <w:r>
        <w:rPr>
          <w:rFonts w:ascii="仿宋" w:hAnsi="仿宋" w:eastAsia="仿宋" w:cs="宋体"/>
          <w:kern w:val="2"/>
          <w:sz w:val="24"/>
          <w:szCs w:val="24"/>
          <w:lang w:bidi="ar-SA"/>
        </w:rPr>
        <w:t>息</w:t>
      </w:r>
      <w:r>
        <w:rPr>
          <w:rFonts w:ascii="仿宋" w:hAnsi="仿宋" w:eastAsia="仿宋" w:cs="宋体"/>
          <w:spacing w:val="2"/>
          <w:kern w:val="2"/>
          <w:sz w:val="24"/>
          <w:szCs w:val="24"/>
          <w:lang w:bidi="ar-SA"/>
        </w:rPr>
        <w:t>资料的不实将</w:t>
      </w:r>
      <w:r>
        <w:rPr>
          <w:rFonts w:ascii="仿宋" w:hAnsi="仿宋" w:eastAsia="仿宋" w:cs="宋体"/>
          <w:kern w:val="2"/>
          <w:sz w:val="24"/>
          <w:szCs w:val="24"/>
          <w:lang w:bidi="ar-SA"/>
        </w:rPr>
        <w:t>由</w:t>
      </w:r>
      <w:r>
        <w:rPr>
          <w:rFonts w:hint="eastAsia" w:ascii="仿宋" w:hAnsi="仿宋" w:eastAsia="仿宋" w:cs="宋体"/>
          <w:spacing w:val="2"/>
          <w:kern w:val="2"/>
          <w:sz w:val="24"/>
          <w:szCs w:val="24"/>
          <w:lang w:bidi="ar-SA"/>
        </w:rPr>
        <w:t>供应商</w:t>
      </w:r>
      <w:r>
        <w:rPr>
          <w:rFonts w:ascii="仿宋" w:hAnsi="仿宋" w:eastAsia="仿宋" w:cs="宋体"/>
          <w:spacing w:val="2"/>
          <w:kern w:val="2"/>
          <w:sz w:val="24"/>
          <w:szCs w:val="24"/>
          <w:lang w:bidi="ar-SA"/>
        </w:rPr>
        <w:t>承担</w:t>
      </w:r>
      <w:r>
        <w:rPr>
          <w:rFonts w:ascii="仿宋" w:hAnsi="仿宋" w:eastAsia="仿宋" w:cs="宋体"/>
          <w:kern w:val="2"/>
          <w:sz w:val="24"/>
          <w:szCs w:val="24"/>
          <w:lang w:bidi="ar-SA"/>
        </w:rPr>
        <w:t>责</w:t>
      </w:r>
      <w:r>
        <w:rPr>
          <w:rFonts w:ascii="仿宋" w:hAnsi="仿宋" w:eastAsia="仿宋" w:cs="宋体"/>
          <w:spacing w:val="2"/>
          <w:kern w:val="2"/>
          <w:sz w:val="24"/>
          <w:szCs w:val="24"/>
          <w:lang w:bidi="ar-SA"/>
        </w:rPr>
        <w:t>任</w:t>
      </w:r>
      <w:r>
        <w:rPr>
          <w:rFonts w:ascii="仿宋" w:hAnsi="仿宋" w:eastAsia="仿宋" w:cs="宋体"/>
          <w:kern w:val="2"/>
          <w:sz w:val="24"/>
          <w:szCs w:val="24"/>
          <w:lang w:bidi="ar-SA"/>
        </w:rPr>
        <w:t>。</w:t>
      </w:r>
    </w:p>
    <w:p w14:paraId="4DFB380F">
      <w:pPr>
        <w:spacing w:line="360" w:lineRule="auto"/>
        <w:ind w:firstLine="492" w:firstLineChars="200"/>
        <w:jc w:val="left"/>
        <w:rPr>
          <w:rFonts w:ascii="仿宋" w:hAnsi="仿宋" w:eastAsia="仿宋"/>
          <w:kern w:val="2"/>
          <w:sz w:val="24"/>
          <w:szCs w:val="24"/>
          <w:lang w:bidi="ar-SA"/>
        </w:rPr>
      </w:pPr>
      <w:r>
        <w:rPr>
          <w:rFonts w:hint="eastAsia" w:ascii="仿宋" w:hAnsi="仿宋" w:eastAsia="仿宋" w:cs="宋体"/>
          <w:spacing w:val="3"/>
          <w:kern w:val="2"/>
          <w:position w:val="-1"/>
          <w:sz w:val="24"/>
          <w:szCs w:val="24"/>
          <w:lang w:bidi="ar-SA"/>
        </w:rPr>
        <w:t>3</w:t>
      </w:r>
      <w:r>
        <w:rPr>
          <w:rFonts w:ascii="仿宋" w:hAnsi="仿宋" w:eastAsia="仿宋" w:cs="宋体"/>
          <w:spacing w:val="3"/>
          <w:kern w:val="2"/>
          <w:position w:val="-1"/>
          <w:sz w:val="24"/>
          <w:szCs w:val="24"/>
          <w:lang w:bidi="ar-SA"/>
        </w:rPr>
        <w:t>、已确认参加</w:t>
      </w:r>
      <w:r>
        <w:rPr>
          <w:rFonts w:hint="eastAsia" w:ascii="仿宋" w:hAnsi="仿宋" w:eastAsia="仿宋" w:cs="宋体"/>
          <w:spacing w:val="3"/>
          <w:kern w:val="2"/>
          <w:position w:val="-1"/>
          <w:sz w:val="24"/>
          <w:szCs w:val="24"/>
          <w:lang w:bidi="ar-SA"/>
        </w:rPr>
        <w:t>磋商</w:t>
      </w:r>
      <w:r>
        <w:rPr>
          <w:rFonts w:ascii="仿宋" w:hAnsi="仿宋" w:eastAsia="仿宋" w:cs="宋体"/>
          <w:spacing w:val="3"/>
          <w:kern w:val="2"/>
          <w:position w:val="-1"/>
          <w:sz w:val="24"/>
          <w:szCs w:val="24"/>
          <w:lang w:bidi="ar-SA"/>
        </w:rPr>
        <w:t>的供应商，故意迟到或无故不参加，影响</w:t>
      </w:r>
      <w:r>
        <w:rPr>
          <w:rFonts w:hint="eastAsia" w:ascii="仿宋" w:hAnsi="仿宋" w:eastAsia="仿宋" w:cs="宋体"/>
          <w:spacing w:val="3"/>
          <w:kern w:val="2"/>
          <w:position w:val="-1"/>
          <w:sz w:val="24"/>
          <w:szCs w:val="24"/>
          <w:lang w:bidi="ar-SA"/>
        </w:rPr>
        <w:t>磋商</w:t>
      </w:r>
      <w:r>
        <w:rPr>
          <w:rFonts w:ascii="仿宋" w:hAnsi="仿宋" w:eastAsia="仿宋" w:cs="宋体"/>
          <w:spacing w:val="3"/>
          <w:kern w:val="2"/>
          <w:position w:val="-1"/>
          <w:sz w:val="24"/>
          <w:szCs w:val="24"/>
          <w:lang w:bidi="ar-SA"/>
        </w:rPr>
        <w:t>活动正常进行的，</w:t>
      </w:r>
      <w:r>
        <w:rPr>
          <w:rFonts w:hint="eastAsia" w:ascii="仿宋" w:hAnsi="仿宋" w:eastAsia="仿宋" w:cs="宋体"/>
          <w:spacing w:val="3"/>
          <w:kern w:val="2"/>
          <w:position w:val="-1"/>
          <w:sz w:val="24"/>
          <w:szCs w:val="24"/>
          <w:lang w:bidi="ar-SA"/>
        </w:rPr>
        <w:t>自行承担一切后果</w:t>
      </w:r>
      <w:r>
        <w:rPr>
          <w:rFonts w:ascii="仿宋" w:hAnsi="仿宋" w:eastAsia="仿宋" w:cs="宋体"/>
          <w:spacing w:val="3"/>
          <w:kern w:val="2"/>
          <w:position w:val="-1"/>
          <w:sz w:val="24"/>
          <w:szCs w:val="24"/>
          <w:lang w:bidi="ar-SA"/>
        </w:rPr>
        <w:t>。</w:t>
      </w:r>
    </w:p>
    <w:p w14:paraId="1CE30A30">
      <w:pPr>
        <w:pStyle w:val="2"/>
        <w:ind w:left="0"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_GB2312">
    <w:altName w:val="Segoe Print"/>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0E95"/>
    <w:multiLevelType w:val="singleLevel"/>
    <w:tmpl w:val="F7FF0E95"/>
    <w:lvl w:ilvl="0" w:tentative="0">
      <w:start w:val="1"/>
      <w:numFmt w:val="chineseCounting"/>
      <w:suff w:val="nothing"/>
      <w:lvlText w:val="%1、"/>
      <w:lvlJc w:val="left"/>
      <w:pPr>
        <w:ind w:left="642" w:firstLine="0"/>
      </w:pPr>
      <w:rPr>
        <w:rFonts w:hint="eastAsia"/>
      </w:rPr>
    </w:lvl>
  </w:abstractNum>
  <w:abstractNum w:abstractNumId="1">
    <w:nsid w:val="FFF83353"/>
    <w:multiLevelType w:val="singleLevel"/>
    <w:tmpl w:val="FFF83353"/>
    <w:lvl w:ilvl="0" w:tentative="0">
      <w:start w:val="1"/>
      <w:numFmt w:val="chineseCounting"/>
      <w:suff w:val="nothing"/>
      <w:lvlText w:val="（%1）"/>
      <w:lvlJc w:val="left"/>
      <w:pPr>
        <w:ind w:left="640" w:firstLine="0"/>
      </w:pPr>
      <w:rPr>
        <w:rFonts w:hint="eastAsia"/>
      </w:rPr>
    </w:lvl>
  </w:abstractNum>
  <w:abstractNum w:abstractNumId="2">
    <w:nsid w:val="59ADCABA"/>
    <w:multiLevelType w:val="multilevel"/>
    <w:tmpl w:val="59ADCABA"/>
    <w:lvl w:ilvl="0" w:tentative="0">
      <w:start w:val="4"/>
      <w:numFmt w:val="taiwaneseCountingThousand"/>
      <w:suff w:val="space"/>
      <w:lvlText w:val="第%1章"/>
      <w:lvlJc w:val="left"/>
      <w:pPr>
        <w:tabs>
          <w:tab w:val="left" w:pos="0"/>
        </w:tabs>
        <w:ind w:left="0" w:firstLine="0"/>
      </w:pPr>
      <w:rPr>
        <w:rFonts w:hint="eastAsia"/>
        <w:b/>
        <w:bCs/>
        <w:sz w:val="32"/>
        <w:szCs w:val="3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6CB0656F"/>
    <w:multiLevelType w:val="singleLevel"/>
    <w:tmpl w:val="6CB0656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wZTQyNGY3NWY0ZTVkMDMxMDUwZGIwMTYzYTM2NTkifQ=="/>
  </w:docVars>
  <w:rsids>
    <w:rsidRoot w:val="5AFE5BC3"/>
    <w:rsid w:val="00082CB5"/>
    <w:rsid w:val="00084F50"/>
    <w:rsid w:val="000F4D28"/>
    <w:rsid w:val="001419D0"/>
    <w:rsid w:val="00155664"/>
    <w:rsid w:val="001801A1"/>
    <w:rsid w:val="001819D7"/>
    <w:rsid w:val="00181EF4"/>
    <w:rsid w:val="001D3E47"/>
    <w:rsid w:val="002107C8"/>
    <w:rsid w:val="00222ED5"/>
    <w:rsid w:val="00263C41"/>
    <w:rsid w:val="0033451C"/>
    <w:rsid w:val="003437FC"/>
    <w:rsid w:val="003C34A9"/>
    <w:rsid w:val="003C34AC"/>
    <w:rsid w:val="003C4B14"/>
    <w:rsid w:val="003D379E"/>
    <w:rsid w:val="004012AC"/>
    <w:rsid w:val="004F0558"/>
    <w:rsid w:val="0051241F"/>
    <w:rsid w:val="00513A7C"/>
    <w:rsid w:val="0052546C"/>
    <w:rsid w:val="00537F23"/>
    <w:rsid w:val="00630590"/>
    <w:rsid w:val="00723235"/>
    <w:rsid w:val="00744D57"/>
    <w:rsid w:val="00772109"/>
    <w:rsid w:val="007D0DF1"/>
    <w:rsid w:val="008231F7"/>
    <w:rsid w:val="008B0422"/>
    <w:rsid w:val="009509A1"/>
    <w:rsid w:val="009A2DE0"/>
    <w:rsid w:val="009E4A1E"/>
    <w:rsid w:val="00A243C2"/>
    <w:rsid w:val="00A63FC2"/>
    <w:rsid w:val="00A717E9"/>
    <w:rsid w:val="00A85340"/>
    <w:rsid w:val="00AE29F9"/>
    <w:rsid w:val="00B4313B"/>
    <w:rsid w:val="00B946A7"/>
    <w:rsid w:val="00C260F3"/>
    <w:rsid w:val="00C35F32"/>
    <w:rsid w:val="00C97826"/>
    <w:rsid w:val="00D35D19"/>
    <w:rsid w:val="00D830D6"/>
    <w:rsid w:val="00D92FE6"/>
    <w:rsid w:val="00D95783"/>
    <w:rsid w:val="00DA2FDF"/>
    <w:rsid w:val="00DB270D"/>
    <w:rsid w:val="00E24BF0"/>
    <w:rsid w:val="00E940E9"/>
    <w:rsid w:val="00EF2AB3"/>
    <w:rsid w:val="00F357C0"/>
    <w:rsid w:val="00F76B8E"/>
    <w:rsid w:val="00FA6018"/>
    <w:rsid w:val="01CE57B8"/>
    <w:rsid w:val="02CD5A6F"/>
    <w:rsid w:val="03826887"/>
    <w:rsid w:val="049F343C"/>
    <w:rsid w:val="04E7176F"/>
    <w:rsid w:val="052D4EEB"/>
    <w:rsid w:val="05850883"/>
    <w:rsid w:val="06135E8F"/>
    <w:rsid w:val="065F7326"/>
    <w:rsid w:val="08CE0793"/>
    <w:rsid w:val="09CA0F5B"/>
    <w:rsid w:val="0B1A7CC0"/>
    <w:rsid w:val="0B5331D2"/>
    <w:rsid w:val="0BA37CB5"/>
    <w:rsid w:val="0BC32105"/>
    <w:rsid w:val="0C1E733C"/>
    <w:rsid w:val="0C5F718D"/>
    <w:rsid w:val="0CBD4DA7"/>
    <w:rsid w:val="0CF77927"/>
    <w:rsid w:val="0D212EBA"/>
    <w:rsid w:val="0DE87C01"/>
    <w:rsid w:val="0E3C619F"/>
    <w:rsid w:val="0E5A03D3"/>
    <w:rsid w:val="0EB421D9"/>
    <w:rsid w:val="0EB83A78"/>
    <w:rsid w:val="0F44355D"/>
    <w:rsid w:val="0F4A14D0"/>
    <w:rsid w:val="10FB40F0"/>
    <w:rsid w:val="110034B4"/>
    <w:rsid w:val="11032FA4"/>
    <w:rsid w:val="125C6E10"/>
    <w:rsid w:val="14B44CE1"/>
    <w:rsid w:val="14C03686"/>
    <w:rsid w:val="15AA7E92"/>
    <w:rsid w:val="16DF3C0F"/>
    <w:rsid w:val="16F07817"/>
    <w:rsid w:val="173A4134"/>
    <w:rsid w:val="19341F4D"/>
    <w:rsid w:val="1B0E2C71"/>
    <w:rsid w:val="1B746F78"/>
    <w:rsid w:val="1C8D7567"/>
    <w:rsid w:val="1CD37CCF"/>
    <w:rsid w:val="1D337430"/>
    <w:rsid w:val="1D3F45BB"/>
    <w:rsid w:val="1F073C5F"/>
    <w:rsid w:val="1F0D396C"/>
    <w:rsid w:val="1F3545E6"/>
    <w:rsid w:val="1F38650F"/>
    <w:rsid w:val="1F7E03C6"/>
    <w:rsid w:val="1F8F25D3"/>
    <w:rsid w:val="1FFC12EA"/>
    <w:rsid w:val="20B120D5"/>
    <w:rsid w:val="20BB73F7"/>
    <w:rsid w:val="21260D15"/>
    <w:rsid w:val="21F20BF7"/>
    <w:rsid w:val="225C2514"/>
    <w:rsid w:val="2417578B"/>
    <w:rsid w:val="24286B52"/>
    <w:rsid w:val="248627BA"/>
    <w:rsid w:val="256E67E6"/>
    <w:rsid w:val="27660403"/>
    <w:rsid w:val="281D62A2"/>
    <w:rsid w:val="29A46C7B"/>
    <w:rsid w:val="29EE7EF6"/>
    <w:rsid w:val="2A5306A1"/>
    <w:rsid w:val="2B2A7653"/>
    <w:rsid w:val="2CC043EB"/>
    <w:rsid w:val="2DE55AB4"/>
    <w:rsid w:val="2E0E0B44"/>
    <w:rsid w:val="2FEE1AED"/>
    <w:rsid w:val="30872E52"/>
    <w:rsid w:val="31155262"/>
    <w:rsid w:val="32404CF5"/>
    <w:rsid w:val="32827D75"/>
    <w:rsid w:val="34473024"/>
    <w:rsid w:val="349A75F8"/>
    <w:rsid w:val="35B71AE4"/>
    <w:rsid w:val="37DE77FC"/>
    <w:rsid w:val="38E97DE6"/>
    <w:rsid w:val="39CB0253"/>
    <w:rsid w:val="39D0586A"/>
    <w:rsid w:val="3AC84793"/>
    <w:rsid w:val="3B0529DF"/>
    <w:rsid w:val="3C5448AE"/>
    <w:rsid w:val="3CE07B72"/>
    <w:rsid w:val="3E1B0554"/>
    <w:rsid w:val="3E3A7756"/>
    <w:rsid w:val="3E9B296C"/>
    <w:rsid w:val="3F495231"/>
    <w:rsid w:val="40583EC3"/>
    <w:rsid w:val="41210759"/>
    <w:rsid w:val="41720FB5"/>
    <w:rsid w:val="43486471"/>
    <w:rsid w:val="43FB7987"/>
    <w:rsid w:val="44C77869"/>
    <w:rsid w:val="450E5003"/>
    <w:rsid w:val="45877724"/>
    <w:rsid w:val="4654512D"/>
    <w:rsid w:val="46FF153C"/>
    <w:rsid w:val="47AC0C0B"/>
    <w:rsid w:val="48D0030B"/>
    <w:rsid w:val="4B524331"/>
    <w:rsid w:val="4B5F3196"/>
    <w:rsid w:val="4BD409E9"/>
    <w:rsid w:val="4CC823D1"/>
    <w:rsid w:val="4CCA7EF7"/>
    <w:rsid w:val="4DFC4A28"/>
    <w:rsid w:val="4E3046D1"/>
    <w:rsid w:val="4FF534DD"/>
    <w:rsid w:val="508042D9"/>
    <w:rsid w:val="53C51418"/>
    <w:rsid w:val="552D3719"/>
    <w:rsid w:val="55F14746"/>
    <w:rsid w:val="569766E3"/>
    <w:rsid w:val="58823CD1"/>
    <w:rsid w:val="58BE3005"/>
    <w:rsid w:val="58F57FA6"/>
    <w:rsid w:val="5AFE5BC3"/>
    <w:rsid w:val="5B8D3163"/>
    <w:rsid w:val="5C5D758B"/>
    <w:rsid w:val="5D1F7DEB"/>
    <w:rsid w:val="5DAD3649"/>
    <w:rsid w:val="5DB669A1"/>
    <w:rsid w:val="5DBC7D30"/>
    <w:rsid w:val="5DC170F4"/>
    <w:rsid w:val="5E135BA1"/>
    <w:rsid w:val="5F1020E1"/>
    <w:rsid w:val="5F9E6BDF"/>
    <w:rsid w:val="61113EEE"/>
    <w:rsid w:val="63185A08"/>
    <w:rsid w:val="64D92F75"/>
    <w:rsid w:val="65E965B5"/>
    <w:rsid w:val="66772A46"/>
    <w:rsid w:val="66C0619B"/>
    <w:rsid w:val="671D539B"/>
    <w:rsid w:val="679C6C08"/>
    <w:rsid w:val="695D23C7"/>
    <w:rsid w:val="6990454A"/>
    <w:rsid w:val="6BDB3A77"/>
    <w:rsid w:val="6BFB7C75"/>
    <w:rsid w:val="6DAE1443"/>
    <w:rsid w:val="6DDD1A5B"/>
    <w:rsid w:val="6DEE183F"/>
    <w:rsid w:val="700F1F41"/>
    <w:rsid w:val="70156D97"/>
    <w:rsid w:val="70253512"/>
    <w:rsid w:val="70926DFA"/>
    <w:rsid w:val="73576DCA"/>
    <w:rsid w:val="74E219D2"/>
    <w:rsid w:val="74E53270"/>
    <w:rsid w:val="758D4034"/>
    <w:rsid w:val="77DE0B76"/>
    <w:rsid w:val="79053EE1"/>
    <w:rsid w:val="7A707A80"/>
    <w:rsid w:val="7B5D0004"/>
    <w:rsid w:val="7CD75B94"/>
    <w:rsid w:val="7DC26844"/>
    <w:rsid w:val="7E2874DE"/>
    <w:rsid w:val="7E2B6198"/>
    <w:rsid w:val="7E2D0162"/>
    <w:rsid w:val="7EDE320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next w:val="4"/>
    <w:qFormat/>
    <w:uiPriority w:val="0"/>
    <w:pPr>
      <w:spacing w:after="120"/>
      <w:ind w:left="420" w:leftChars="200"/>
    </w:pPr>
    <w:rPr>
      <w:kern w:val="2"/>
      <w:sz w:val="21"/>
      <w:szCs w:val="22"/>
      <w:lang w:bidi="ar-SA"/>
    </w:rPr>
  </w:style>
  <w:style w:type="paragraph" w:styleId="4">
    <w:name w:val="envelope return"/>
    <w:basedOn w:val="1"/>
    <w:qFormat/>
    <w:uiPriority w:val="99"/>
    <w:pPr>
      <w:snapToGrid w:val="0"/>
    </w:pPr>
    <w:rPr>
      <w:rFonts w:ascii="Arial" w:hAnsi="Arial"/>
      <w:kern w:val="2"/>
      <w:sz w:val="21"/>
      <w:szCs w:val="22"/>
      <w:lang w:bidi="ar-SA"/>
    </w:rPr>
  </w:style>
  <w:style w:type="paragraph" w:styleId="6">
    <w:name w:val="Normal Indent"/>
    <w:basedOn w:val="1"/>
    <w:qFormat/>
    <w:uiPriority w:val="0"/>
    <w:pPr>
      <w:ind w:firstLine="420"/>
    </w:pPr>
    <w:rPr>
      <w:rFonts w:asciiTheme="minorHAnsi" w:hAnsiTheme="minorHAnsi" w:cstheme="minorBidi"/>
      <w:szCs w:val="22"/>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楷体_GB2312" w:hAnsi="Arial" w:eastAsia="楷体_GB2312"/>
      <w:sz w:val="28"/>
    </w:rPr>
  </w:style>
  <w:style w:type="paragraph" w:styleId="9">
    <w:name w:val="footer"/>
    <w:basedOn w:val="1"/>
    <w:link w:val="29"/>
    <w:qFormat/>
    <w:uiPriority w:val="0"/>
    <w:pPr>
      <w:tabs>
        <w:tab w:val="center" w:pos="4153"/>
        <w:tab w:val="right" w:pos="8306"/>
      </w:tabs>
      <w:snapToGrid w:val="0"/>
      <w:jc w:val="left"/>
    </w:pPr>
    <w:rPr>
      <w:rFonts w:cs="Mangal"/>
      <w:sz w:val="18"/>
      <w:szCs w:val="16"/>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rFonts w:cs="Mangal"/>
      <w:sz w:val="18"/>
      <w:szCs w:val="16"/>
    </w:rPr>
  </w:style>
  <w:style w:type="paragraph" w:styleId="11">
    <w:name w:val="Normal (Web)"/>
    <w:basedOn w:val="1"/>
    <w:qFormat/>
    <w:uiPriority w:val="0"/>
    <w:pPr>
      <w:widowControl/>
      <w:spacing w:before="100" w:beforeAutospacing="1" w:after="100" w:afterAutospacing="1"/>
      <w:jc w:val="left"/>
    </w:pPr>
    <w:rPr>
      <w:rFonts w:ascii="宋体" w:hAnsi="宋体"/>
      <w:sz w:val="24"/>
      <w:szCs w:val="24"/>
    </w:rPr>
  </w:style>
  <w:style w:type="paragraph" w:customStyle="1" w:styleId="14">
    <w:name w:val="正文11"/>
    <w:next w:val="15"/>
    <w:qFormat/>
    <w:uiPriority w:val="0"/>
    <w:pPr>
      <w:widowControl w:val="0"/>
      <w:jc w:val="both"/>
    </w:pPr>
    <w:rPr>
      <w:rFonts w:ascii="Calibri" w:hAnsi="Calibri" w:eastAsia="宋体" w:cs="Times New Roman"/>
      <w:kern w:val="2"/>
      <w:sz w:val="21"/>
      <w:szCs w:val="21"/>
      <w:lang w:val="en-US" w:eastAsia="zh-CN" w:bidi="ar-SA"/>
    </w:rPr>
  </w:style>
  <w:style w:type="paragraph" w:customStyle="1" w:styleId="15">
    <w:name w:val="正文文本1"/>
    <w:basedOn w:val="14"/>
    <w:next w:val="14"/>
    <w:unhideWhenUsed/>
    <w:qFormat/>
    <w:uiPriority w:val="99"/>
    <w:rPr>
      <w:rFonts w:ascii="??_GB2312" w:hAnsi="??_GB2312"/>
      <w:sz w:val="28"/>
      <w:szCs w:val="28"/>
    </w:rPr>
  </w:style>
  <w:style w:type="paragraph" w:customStyle="1" w:styleId="16">
    <w:name w:val="Default"/>
    <w:basedOn w:val="14"/>
    <w:qFormat/>
    <w:uiPriority w:val="0"/>
    <w:pPr>
      <w:jc w:val="left"/>
    </w:pPr>
    <w:rPr>
      <w:rFonts w:ascii="宋体" w:hAnsi="宋体" w:cs="宋体"/>
      <w:color w:val="000000"/>
      <w:kern w:val="0"/>
      <w:sz w:val="24"/>
      <w:szCs w:val="24"/>
    </w:rPr>
  </w:style>
  <w:style w:type="paragraph" w:customStyle="1" w:styleId="17">
    <w:name w:val="标题 21"/>
    <w:basedOn w:val="14"/>
    <w:next w:val="14"/>
    <w:qFormat/>
    <w:uiPriority w:val="99"/>
    <w:pPr>
      <w:keepNext/>
      <w:keepLines/>
      <w:spacing w:before="260" w:after="260" w:line="410" w:lineRule="auto"/>
      <w:jc w:val="center"/>
      <w:outlineLvl w:val="1"/>
    </w:pPr>
    <w:rPr>
      <w:rFonts w:ascii="Arial" w:hAnsi="Arial" w:eastAsia="幼圆"/>
      <w:b/>
      <w:bCs/>
      <w:sz w:val="44"/>
      <w:szCs w:val="44"/>
    </w:rPr>
  </w:style>
  <w:style w:type="paragraph" w:customStyle="1" w:styleId="18">
    <w:name w:val="正文缩进2格"/>
    <w:basedOn w:val="14"/>
    <w:qFormat/>
    <w:uiPriority w:val="0"/>
    <w:pPr>
      <w:spacing w:line="600" w:lineRule="exact"/>
    </w:pPr>
    <w:rPr>
      <w:rFonts w:ascii="??_GB2312" w:hAnsi="??_GB2312"/>
      <w:sz w:val="31"/>
      <w:szCs w:val="31"/>
    </w:rPr>
  </w:style>
  <w:style w:type="paragraph" w:customStyle="1" w:styleId="19">
    <w:name w:val="普通正文"/>
    <w:basedOn w:val="14"/>
    <w:qFormat/>
    <w:uiPriority w:val="0"/>
    <w:pPr>
      <w:spacing w:before="120" w:after="120" w:line="360" w:lineRule="auto"/>
      <w:ind w:firstLine="480"/>
      <w:jc w:val="left"/>
      <w:textAlignment w:val="baseline"/>
    </w:pPr>
    <w:rPr>
      <w:rFonts w:ascii="Arial" w:hAnsi="Arial"/>
      <w:kern w:val="0"/>
      <w:sz w:val="24"/>
      <w:szCs w:val="24"/>
    </w:rPr>
  </w:style>
  <w:style w:type="paragraph" w:customStyle="1" w:styleId="20">
    <w:name w:val="标题1"/>
    <w:basedOn w:val="14"/>
    <w:next w:val="14"/>
    <w:qFormat/>
    <w:uiPriority w:val="0"/>
    <w:pPr>
      <w:spacing w:line="700" w:lineRule="atLeast"/>
      <w:jc w:val="center"/>
    </w:pPr>
    <w:rPr>
      <w:rFonts w:ascii="Times New Roman" w:hAnsi="Times New Roman"/>
      <w:sz w:val="44"/>
      <w:szCs w:val="44"/>
    </w:rPr>
  </w:style>
  <w:style w:type="paragraph" w:customStyle="1" w:styleId="21">
    <w:name w:val="列表段落"/>
    <w:basedOn w:val="14"/>
    <w:semiHidden/>
    <w:qFormat/>
    <w:uiPriority w:val="0"/>
  </w:style>
  <w:style w:type="paragraph" w:customStyle="1" w:styleId="22">
    <w:name w:val="样式 标题 2 + 黑色 行距: 1.5 倍行距"/>
    <w:basedOn w:val="17"/>
    <w:qFormat/>
    <w:uiPriority w:val="0"/>
    <w:pPr>
      <w:spacing w:line="360" w:lineRule="auto"/>
      <w:jc w:val="left"/>
    </w:pPr>
    <w:rPr>
      <w:rFonts w:ascii="宋体" w:hAnsi="宋体" w:eastAsia="宋体" w:cs="??_GB2312"/>
      <w:color w:val="000000"/>
    </w:rPr>
  </w:style>
  <w:style w:type="paragraph" w:customStyle="1" w:styleId="23">
    <w:name w:val="正文缩进1"/>
    <w:basedOn w:val="14"/>
    <w:unhideWhenUsed/>
    <w:qFormat/>
    <w:uiPriority w:val="99"/>
    <w:pPr>
      <w:spacing w:beforeAutospacing="1" w:after="120"/>
      <w:ind w:left="420"/>
    </w:pPr>
  </w:style>
  <w:style w:type="paragraph" w:customStyle="1" w:styleId="24">
    <w:name w:val="标题 31"/>
    <w:basedOn w:val="14"/>
    <w:next w:val="14"/>
    <w:qFormat/>
    <w:uiPriority w:val="99"/>
    <w:pPr>
      <w:keepNext/>
      <w:keepLines/>
      <w:spacing w:before="260" w:after="260" w:line="410" w:lineRule="auto"/>
      <w:outlineLvl w:val="2"/>
    </w:pPr>
    <w:rPr>
      <w:b/>
      <w:bCs/>
      <w:sz w:val="32"/>
      <w:szCs w:val="32"/>
    </w:rPr>
  </w:style>
  <w:style w:type="paragraph" w:customStyle="1" w:styleId="25">
    <w:name w:val="列出段落1"/>
    <w:basedOn w:val="14"/>
    <w:qFormat/>
    <w:uiPriority w:val="0"/>
  </w:style>
  <w:style w:type="paragraph" w:customStyle="1" w:styleId="26">
    <w:name w:val="纯文本2"/>
    <w:basedOn w:val="1"/>
    <w:qFormat/>
    <w:uiPriority w:val="0"/>
    <w:rPr>
      <w:rFonts w:ascii="宋体" w:hAnsi="Courier New"/>
      <w:sz w:val="28"/>
      <w:szCs w:val="24"/>
    </w:rPr>
  </w:style>
  <w:style w:type="paragraph" w:customStyle="1" w:styleId="27">
    <w:name w:val="页脚1"/>
    <w:basedOn w:val="14"/>
    <w:unhideWhenUsed/>
    <w:qFormat/>
    <w:uiPriority w:val="99"/>
    <w:pPr>
      <w:snapToGrid w:val="0"/>
      <w:jc w:val="left"/>
    </w:pPr>
    <w:rPr>
      <w:sz w:val="18"/>
      <w:szCs w:val="18"/>
    </w:rPr>
  </w:style>
  <w:style w:type="character" w:customStyle="1" w:styleId="28">
    <w:name w:val="页眉 Char"/>
    <w:basedOn w:val="13"/>
    <w:link w:val="10"/>
    <w:qFormat/>
    <w:uiPriority w:val="0"/>
    <w:rPr>
      <w:rFonts w:cs="Mangal"/>
      <w:sz w:val="18"/>
      <w:szCs w:val="16"/>
      <w:lang w:bidi="hi-IN"/>
    </w:rPr>
  </w:style>
  <w:style w:type="character" w:customStyle="1" w:styleId="29">
    <w:name w:val="页脚 Char"/>
    <w:basedOn w:val="13"/>
    <w:link w:val="9"/>
    <w:qFormat/>
    <w:uiPriority w:val="0"/>
    <w:rPr>
      <w:rFonts w:cs="Mangal"/>
      <w:sz w:val="18"/>
      <w:szCs w:val="16"/>
      <w:lang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19585</Words>
  <Characters>20469</Characters>
  <Lines>162</Lines>
  <Paragraphs>45</Paragraphs>
  <TotalTime>6</TotalTime>
  <ScaleCrop>false</ScaleCrop>
  <LinksUpToDate>false</LinksUpToDate>
  <CharactersWithSpaces>21268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2024-07-09T08:18:00Z</dcterms:created>
  <dc:creator>包几BI4SWT</dc:creator>
  <cp:lastModifiedBy>Administrator</cp:lastModifiedBy>
  <dcterms:modified xsi:type="dcterms:W3CDTF">2024-07-17T01:10:12Z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31D2C9E64F364A5B9583D240E5943203_11</vt:lpwstr>
  </property>
</Properties>
</file>